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山东济宁梁山（专用汽车）特色产业集群</w:t>
      </w:r>
    </w:p>
    <w:p>
      <w:pPr>
        <w:spacing w:lineRule="exact" w:line="600" w:before="240" w:after="240"/>
        <w:ind w:firstLine="0"/>
        <w:jc w:val="center"/>
      </w:pPr>
      <w:r>
        <w:rPr>
          <w:rFonts w:ascii="方正小标宋简体" w:hAnsi="方正小标宋简体" w:eastAsia="方正小标宋简体"/>
          <w:b w:val="0"/>
          <w:color w:val="000000"/>
          <w:sz w:val="44"/>
        </w:rPr>
        <w:t>梁山中集东岳车辆有限公司企业分析报告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公司官网（cimcchina.com）、中集车辆（301039.SZ/01839.HK）2023年年度报告及2024年度为子公司提供担保核查意见、搜狗百科等公开渠道，统计时点截至2026年8月。公司为中集车辆（集团）股份有限公司控股子公司（持股70.10%），其单体2023年财务数据引自中集车辆公告；中集车辆集团近三年（2021—2023）关键财务指标引自其A股年报，已在文中注明。法人信息天眼查（徐宝国）与中集车辆公告（孙春安）存在差异，以最新工商登记为准并提示。）</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梁山中集东岳车辆有限公司成立于2007年10月16日，法定代表人为徐宝国（天眼查登记；中集车辆过往公告曾列孙春安），统一社会信用代码为913708326680699993，注册资本9,000万元人民币，企业类型为其他有限责任公司，登记机关为梁山县市场监督管理局，注册地址位于山东省济宁市梁山县拳铺镇梁山大道17号，经营状态为存续，营业期限至2057年10月15日。英文名称Liangshan CIMC Dongyue Vehicles Co., Ltd.。</w:t>
      </w:r>
    </w:p>
    <w:p>
      <w:pPr>
        <w:spacing w:lineRule="exact" w:line="600" w:before="0" w:after="0"/>
        <w:ind w:firstLine="420"/>
        <w:jc w:val="both"/>
      </w:pPr>
      <w:r>
        <w:rPr>
          <w:rFonts w:ascii="仿宋_GB2312" w:hAnsi="仿宋_GB2312" w:eastAsia="仿宋_GB2312"/>
          <w:b w:val="0"/>
          <w:color w:val="000000"/>
          <w:sz w:val="32"/>
        </w:rPr>
        <w:t>股权结构：公司由中集车辆（集团）股份有限公司持股70.10%（认缴6,309万元）、山东华岳投资有限公司持股25.00%（认缴2,250万元）、梁山县泰福股权投资合伙企业（有限合伙）持股4.90%（认缴441万元）共同出资。中集车辆为A股上市公司（301039.SZ）及港股（01839.HK），其上层实际控制人为中国中国国际海运集装箱（集团）股份有限公司（CIMC，中集集团）。因此，梁山中集东岳为央企/上市系控股的国有参控股混合所有制企业，国资（中集集团）背景特征明显。</w:t>
      </w:r>
    </w:p>
    <w:p>
      <w:pPr>
        <w:spacing w:lineRule="exact" w:line="600" w:before="0" w:after="0"/>
        <w:ind w:firstLine="420"/>
        <w:jc w:val="both"/>
      </w:pPr>
      <w:r>
        <w:rPr>
          <w:rFonts w:ascii="仿宋_GB2312" w:hAnsi="仿宋_GB2312" w:eastAsia="仿宋_GB2312"/>
          <w:b w:val="0"/>
          <w:color w:val="000000"/>
          <w:sz w:val="32"/>
        </w:rPr>
        <w:t>参保人员方面，2025年参保235人，人员规模100—499人。公司建有16万平方米厂区，年产能约2万台专用车。</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中集车辆（集团）下属骨干企业，主营半挂车、自卸车、罐式车、低平板运输车、混凝土搅拌车、特种车（凭公告车型）生产销售及挂车零部件。采用"灯塔制造网络"模式，拥有电泳涂装车间（投资1,600万美元）、自有检测线与理化分析室（200余项检测）。2024年12月实现年产第10,000台专用车下线。</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始建于1987年（岳增才等创办，初期注册资金500元、员工2人，从事电焊维修），2002年进入专用汽车国家公告目录，2007年正式加盟招商局集团旗下的中集车辆，成为其下属骨干企业；2007—2012年半挂车产销量连续6年居全国前列；2011年全资收购山东万事达专用汽车制造有限公司，整合罐式与标准半挂车业务；2024年12月年产专用车突破10,000台。</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全球领先半挂车与专用车高端制造龙头中集车辆的核心骨干企业，主营集装箱半挂车、低平板半挂车、侧翻/栏板半挂车、粉粒物料（散装水泥）半挂车、液罐半挂车、自卸车、混凝土搅拌车及特种车，并提供CBU/SKD/CKD等多种交付方案，与重汽、福田、北奔、陕汽、江淮等主机厂合作。</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半挂车（普通半挂、集装箱半挂、低平板、侧翻栏板）及罐式车（粉罐、液罐）为主，兼营自卸车、搅拌车及零部件。分产品收入占比未单独披露；母公司中集车辆2023年车辆销售收入219.33亿元（占87.43%）、零部件收入24.40亿元（占9.73%）。</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代表产品：集装箱运输半挂车（20—45尺）、铝合金粉罐半挂车（艾克森系列）、粉粒物料运输半挂车、立式粉罐半挂车、低平板半挂车、侧翻/栏板半挂车、液罐半挂车。产品采用有限元分析（FEA）、电泳涂装工艺，主打轻量化与高端制造。</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下游为物流运输、港口、矿山、建材、化工及工程客户；依托中集车辆"星链计划"与跨洋经营，国内半挂车市占率连续五年全国第一，并覆盖北美、欧洲、一带一路市场。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上游采购钢材、车桥、轮胎及零部件，依托中集车辆集中采购平台。母公司2023年前五名供应商采购金额23.16亿元，占年度采购12.93%。</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公司厂区16万平方米，年产能约2万台；电泳涂装车间、自有检测线与理化分析室；拥有国家发改委公告车型生产资质、CCC及出口资质。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销售依托中集车辆全球分销网络（含授权全球经销商、批发政策）及国内"星链灯塔"体系，提供CBU/SKD/CKD与备件服务。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2024年12月公司实现年产第10,000台专用车下线，年产能约2万台。母公司中集车辆2023年全球销售各类车辆13.90万辆/台套，其中国内半挂车市占率连续五年第一。公司单体营收未单独披露，纳入中集车辆合并口径。</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单体审计报告未逐年限公开，但母公司中集车辆2024年度为子公司提供担保的核查意见披露了其2023年主要财务数据：截至2023年12月31日，资产总额40,607.62万元，负债总额24,695.43万元，净资产15,912.18万元，资产负债率61%，2023年净利润2,153.49万元。2021、2022年单体数据未在本次检索公开来源中获取，故仅列示最新可得年度。</w:t>
      </w:r>
    </w:p>
    <w:p>
      <w:pPr>
        <w:spacing w:lineRule="exact" w:line="600" w:before="0" w:after="0"/>
        <w:ind w:firstLine="420"/>
        <w:jc w:val="both"/>
      </w:pPr>
      <w:r>
        <w:rPr>
          <w:rFonts w:ascii="仿宋_GB2312" w:hAnsi="仿宋_GB2312" w:eastAsia="仿宋_GB2312"/>
          <w:b w:val="0"/>
          <w:color w:val="000000"/>
          <w:sz w:val="32"/>
        </w:rPr>
        <w:t>作为上市公司控股子公司，其经营成果并入中集车辆合并报表。中集车辆集团近三年关键财务指标如下（来源：2021—2023年A股年报）：2021年营业收入276.48亿元、归母净利润9.01亿元；2022年营业收入236.21亿元、归母净利润11.18亿元；2023年营业收入250.87亿元、归母净利润24.56亿元。</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公司单体2023年净利润2,153.49万元，盈利能力稳健。母公司中集车辆2023年销售毛利率18.96%（同比+5.68个百分点）、销售净利率9.76%、加权ROE 17.93%；2022年毛利率13.28%。集团盈利随海外市场与产品结构优化显著提升。</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公司单体2023年资产总额40,607.62万元、净资产15,912.18万元，资产规模在县域专用车企业中居前；依托中集车辆体系，资产质量与设备管理较好。</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公司单体2023年资产负债率61%，负债水平适中（高于母公司合并35.20%，因子公司杠杆较高）。母公司中集车辆2023年资产负债率35.20%、有息负债率10.86%、流动比率2.13，偿债能力较强。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公司单体经营现金流未单独披露；母公司中集车辆2023年经营活动现金流量净额17.90亿元（同比+55.14%），现金流充沛。</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通亚汽车（民营、粉罐车单品冠军）、华宇集团（民营整车）相比，中集东岳依托中集车辆上市平台，在资本实力、全球渠道、制造标准（电泳、灯塔网络）上具显著优势，规模与合规最强；但单体财务杠杆（61%）高于母公司合并水平。</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公司为其他有限责任公司，设董事长（徐宝国）及董事（何显松、毛弋、岳增才、邓瑜娟等），治理规范，纳入中集车辆上市公司治理体系与内控、审计体系。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法定代表人/董事长徐宝国；董事含中集车辆派驻的何显松、毛弋及原东岳创始方代表岳增才（持股平台）等，体现"央企/上市系+地方创始团队"混合治理。</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公司执行中集车辆"灯塔制造网络"与"星链计划"，通过整合7家半挂车工厂打通采购、生产、流通环节，内控与质量标准达上市公司要求。</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2025年参保235人，人员规模100—499人；依托中集车辆体系（2023年末员工10,245人）的技术与管理资源，研发与制造队伍稳定。</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资本与股东背景：中集车辆（A+H上市）控股70.10%、中集集团央企背景，资本与信用优势突出。</w:t>
      </w:r>
    </w:p>
    <w:p>
      <w:pPr>
        <w:spacing w:lineRule="exact" w:line="600" w:before="0" w:after="0"/>
        <w:ind w:firstLine="420"/>
        <w:jc w:val="both"/>
      </w:pPr>
      <w:r>
        <w:rPr>
          <w:rFonts w:ascii="仿宋_GB2312" w:hAnsi="仿宋_GB2312" w:eastAsia="仿宋_GB2312"/>
          <w:b w:val="0"/>
          <w:color w:val="000000"/>
          <w:sz w:val="32"/>
        </w:rPr>
        <w:t>2. 制造与标准：16万平米厂区、电泳涂装、FEA仿真、200余项检测、灯塔制造网络，制造壁垒高。</w:t>
      </w:r>
    </w:p>
    <w:p>
      <w:pPr>
        <w:spacing w:lineRule="exact" w:line="600" w:before="0" w:after="0"/>
        <w:ind w:firstLine="420"/>
        <w:jc w:val="both"/>
      </w:pPr>
      <w:r>
        <w:rPr>
          <w:rFonts w:ascii="仿宋_GB2312" w:hAnsi="仿宋_GB2312" w:eastAsia="仿宋_GB2312"/>
          <w:b w:val="0"/>
          <w:color w:val="000000"/>
          <w:sz w:val="32"/>
        </w:rPr>
        <w:t>3. 渠道与品牌：中集车辆全球分销+星链计划，国内半挂车市占率连续五年第一。</w:t>
      </w:r>
    </w:p>
    <w:p>
      <w:pPr>
        <w:spacing w:lineRule="exact" w:line="600" w:before="0" w:after="0"/>
        <w:ind w:firstLine="420"/>
        <w:jc w:val="both"/>
      </w:pPr>
      <w:r>
        <w:rPr>
          <w:rFonts w:ascii="仿宋_GB2312" w:hAnsi="仿宋_GB2312" w:eastAsia="仿宋_GB2312"/>
          <w:b w:val="0"/>
          <w:color w:val="000000"/>
          <w:sz w:val="32"/>
        </w:rPr>
        <w:t>4. 产品矩阵：半挂车、罐式车、自卸车、搅拌车全覆盖，轻量化与高端化领先。</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专用车行业强周期，受物流、基建、地产投资及排放标准切换影响；国际贸易摩擦与海外建厂合规风险需关注。</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公司单体资产负债率61%偏高，需关注利率与回款；作为上市公司子公司，合规与信息披露受严格监管，重大风险较低。</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母公司以"跨洋经营、当地制造"分散单一市场风险，以新能源头挂列车、星链计划提升韧性与利润。</w:t>
      </w:r>
    </w:p>
    <w:p>
      <w:pPr>
        <w:spacing w:lineRule="exact" w:line="600" w:before="120" w:after="120"/>
        <w:ind w:firstLine="420"/>
        <w:jc w:val="left"/>
      </w:pPr>
      <w:r>
        <w:rPr>
          <w:rFonts w:ascii="楷体_GB2312" w:hAnsi="楷体_GB2312" w:eastAsia="楷体_GB2312"/>
          <w:b w:val="0"/>
          <w:color w:val="000000"/>
          <w:sz w:val="32"/>
        </w:rPr>
        <w:t>（四）管理风险</w:t>
      </w:r>
    </w:p>
    <w:p>
      <w:pPr>
        <w:spacing w:lineRule="exact" w:line="600" w:before="0" w:after="0"/>
        <w:ind w:firstLine="420"/>
        <w:jc w:val="both"/>
      </w:pPr>
      <w:r>
        <w:rPr>
          <w:rFonts w:ascii="仿宋_GB2312" w:hAnsi="仿宋_GB2312" w:eastAsia="仿宋_GB2312"/>
          <w:b w:val="0"/>
          <w:color w:val="000000"/>
          <w:sz w:val="32"/>
        </w:rPr>
        <w:t>法人登记与公告口径差异提示管理层变更信息需以最新工商为准；混合所有制下需平衡总部管控与本地经营。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1. 供应链金融：上游钢材/零部件采购与下游赊销占用资金，可对接保理与订单融资（依托中集信用更佳）。</w:t>
      </w:r>
    </w:p>
    <w:p>
      <w:pPr>
        <w:spacing w:lineRule="exact" w:line="600" w:before="0" w:after="0"/>
        <w:ind w:firstLine="420"/>
        <w:jc w:val="both"/>
      </w:pPr>
      <w:r>
        <w:rPr>
          <w:rFonts w:ascii="仿宋_GB2312" w:hAnsi="仿宋_GB2312" w:eastAsia="仿宋_GB2312"/>
          <w:b w:val="0"/>
          <w:color w:val="000000"/>
          <w:sz w:val="32"/>
        </w:rPr>
        <w:t>2. 融资租赁：电泳、焊装、检测设备升级可探索融资租赁。</w:t>
      </w:r>
    </w:p>
    <w:p>
      <w:pPr>
        <w:spacing w:lineRule="exact" w:line="600" w:before="0" w:after="0"/>
        <w:ind w:firstLine="420"/>
        <w:jc w:val="both"/>
      </w:pPr>
      <w:r>
        <w:rPr>
          <w:rFonts w:ascii="仿宋_GB2312" w:hAnsi="仿宋_GB2312" w:eastAsia="仿宋_GB2312"/>
          <w:b w:val="0"/>
          <w:color w:val="000000"/>
          <w:sz w:val="32"/>
        </w:rPr>
        <w:t>3. 跨境金融：依托中集车辆出口与跨洋经营，海外应收款保理与出口信保协同。</w:t>
      </w:r>
    </w:p>
    <w:p>
      <w:pPr>
        <w:spacing w:lineRule="exact" w:line="600" w:before="0" w:after="0"/>
        <w:ind w:firstLine="420"/>
        <w:jc w:val="both"/>
      </w:pPr>
      <w:r>
        <w:rPr>
          <w:rFonts w:ascii="仿宋_GB2312" w:hAnsi="仿宋_GB2312" w:eastAsia="仿宋_GB2312"/>
          <w:b w:val="0"/>
          <w:color w:val="000000"/>
          <w:sz w:val="32"/>
        </w:rPr>
        <w:t>4. 备注：公司背靠上市平台融资能力强，山东投资可在供应链金融与产业链小贷层面切入，慎对重复加杠杆。</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梁山中集东岳是中集车辆控股的核心骨干企业、梁山专用汽车集群的标杆龙头，具备央企/上市系资本、全球渠道与高端制造能力，单体2023年净利润2,153万元、资产4.06亿元，经营稳健。作为上市公司控股子公司，其财务并入中集车辆合并报表，透明度高。</w:t>
      </w:r>
    </w:p>
    <w:p>
      <w:pPr>
        <w:spacing w:lineRule="exact" w:line="600" w:before="0" w:after="0"/>
        <w:ind w:firstLine="420"/>
        <w:jc w:val="both"/>
      </w:pPr>
      <w:r>
        <w:rPr>
          <w:rFonts w:ascii="仿宋_GB2312" w:hAnsi="仿宋_GB2312" w:eastAsia="仿宋_GB2312"/>
          <w:b w:val="0"/>
          <w:color w:val="000000"/>
          <w:sz w:val="32"/>
        </w:rPr>
        <w:t>发展展望：受益中集车辆"星链计划""第三次创业"与新能源专用车布局，公司有望在国内半挂车基本盘与一带一路市场持续扩张；2024年产能突破10,000台印证成长。</w:t>
      </w:r>
    </w:p>
    <w:p>
      <w:pPr>
        <w:spacing w:lineRule="exact" w:line="600" w:before="0" w:after="0"/>
        <w:ind w:firstLine="420"/>
        <w:jc w:val="both"/>
      </w:pPr>
      <w:r>
        <w:rPr>
          <w:rFonts w:ascii="仿宋_GB2312" w:hAnsi="仿宋_GB2312" w:eastAsia="仿宋_GB2312"/>
          <w:b w:val="0"/>
          <w:color w:val="000000"/>
          <w:sz w:val="32"/>
        </w:rPr>
        <w:t>挑战：行业周期、资产负债率偏高、海外贸易与合规。</w:t>
      </w:r>
    </w:p>
    <w:p>
      <w:pPr>
        <w:spacing w:lineRule="exact" w:line="600" w:before="0" w:after="0"/>
        <w:ind w:firstLine="420"/>
        <w:jc w:val="both"/>
      </w:pPr>
      <w:r>
        <w:rPr>
          <w:rFonts w:ascii="仿宋_GB2312" w:hAnsi="仿宋_GB2312" w:eastAsia="仿宋_GB2312"/>
          <w:b w:val="0"/>
          <w:color w:val="000000"/>
          <w:sz w:val="32"/>
        </w:rPr>
        <w:t>结论与建议：建议山东投资以供应链金融/产业链小贷切入与中集东岳协同，依托其上市信用控制风险；投资评价应以其并入中集车辆合并报表及单体2023审计数据为据。公司产业地位与合规水平高，是集群内最优质的合作标的之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国家企业信用信息公示系统及天眼查/企查查：工商登记、股东出资、参保、主要人员。</w:t>
      </w:r>
    </w:p>
    <w:p>
      <w:pPr>
        <w:spacing w:lineRule="exact" w:line="600" w:before="0" w:after="0"/>
        <w:ind w:firstLine="420"/>
        <w:jc w:val="both"/>
      </w:pPr>
      <w:r>
        <w:rPr>
          <w:rFonts w:ascii="仿宋_GB2312" w:hAnsi="仿宋_GB2312" w:eastAsia="仿宋_GB2312"/>
          <w:b w:val="0"/>
          <w:color w:val="000000"/>
          <w:sz w:val="32"/>
        </w:rPr>
        <w:t>2. 中集车辆（301039.SZ）2023年年度报告：集团营收、归母净利润、毛利率、资产负债率、经营现金流。</w:t>
      </w:r>
    </w:p>
    <w:p>
      <w:pPr>
        <w:spacing w:lineRule="exact" w:line="600" w:before="0" w:after="0"/>
        <w:ind w:firstLine="420"/>
        <w:jc w:val="both"/>
      </w:pPr>
      <w:r>
        <w:rPr>
          <w:rFonts w:ascii="仿宋_GB2312" w:hAnsi="仿宋_GB2312" w:eastAsia="仿宋_GB2312"/>
          <w:b w:val="0"/>
          <w:color w:val="000000"/>
          <w:sz w:val="32"/>
        </w:rPr>
        <w:t>3. 中集车辆2024年度为子公司提供担保核查意见：梁山中集东岳2023年资产、负债、净资产、净利润。</w:t>
      </w:r>
    </w:p>
    <w:p>
      <w:pPr>
        <w:spacing w:lineRule="exact" w:line="600" w:before="0" w:after="0"/>
        <w:ind w:firstLine="420"/>
        <w:jc w:val="both"/>
      </w:pPr>
      <w:r>
        <w:rPr>
          <w:rFonts w:ascii="仿宋_GB2312" w:hAnsi="仿宋_GB2312" w:eastAsia="仿宋_GB2312"/>
          <w:b w:val="0"/>
          <w:color w:val="000000"/>
          <w:sz w:val="32"/>
        </w:rPr>
        <w:t>4. 公司官网（cimcchina.com）、搜狗百科：产能、产品、发展沿革。</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