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山东济宁邹城市(矿山装备智造)特色产业集群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兖矿东华重工有限公司企业分析报告</w:t>
      </w:r>
    </w:p>
    <w:p>
      <w:pPr>
        <w:spacing w:lineRule="exact" w:line="600" w:before="0" w:after="0"/>
        <w:jc w:val="left"/>
      </w:pPr>
      <w:r>
        <w:rPr>
          <w:rFonts w:ascii="仿宋_GB2312" w:hAnsi="仿宋_GB2312" w:eastAsia="仿宋_GB2312"/>
          <w:b w:val="0"/>
          <w:color w:val="000000"/>
          <w:sz w:val="28"/>
        </w:rPr>
        <w:t>（本报告基于国家企业信用信息公示系统、天眼查、企查查、爱企查、兖矿能源公告及公开报道整理。公司为非上市企业（兖矿能源控股子公司），单体财务数据未公开披露，已如实标注；部分集团数据来源于兖矿能源公开披露。）</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兖矿东华重工有限公司成立于2013年1月10日，法定代表人为张立，统一社会信用代码91370883061983346A，注册资本437,788.8万元（实缴284,810.9万元）。注册地址为山东省邹城市西外环路5289号，企业类型为有限责任公司（港澳台投资、非独资），登记机关为邹城市市场监督管理局，营业期限自2013年1月10日起无固定期限。所属行业为专用设备制造业（矿山机械制造）。公司系山东能源集团旗下兖矿能源集团股份有限公司控股的矿山装备制造核心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股东为兖矿能源集团股份有限公司（持股52.0317%）与兖煤国际（控股）有限公司（持股47.9683%），实际控制人为山东能源集团有限公司（山东省属国资）。公司对外投资企业11家、分支机构7家，是山东能源高端装备制造板块的重要平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2013年设立，长期承担山东能源集团矿山装备（液压支架、采煤机等）制造与维修职能。2025年11月，兖矿能源公告其以约3.45亿元收购山东能源装备集团持有的高端支架制造有限公司100%股权，进一步整合集团高端支架产能。公司获评高新技术企业、省级企业技术中心、技术创新示范企业，拥有专利240余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山东能源集团矿山采掘与运输提升装备（液压支架等）骨干制造企业，驻邹城矿山装备智造集群核心。主营业务包括工业自动控制系统装置制造、矿山机械制造与销售、专用设备制造与修理、电线电缆制造、机械设备租赁等，核心产品为液压支架等煤矿综采装备及配套。</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以煤矿综采装备（液压支架等）制造、维修及矿山机械销售为主业，兼营工业自动控制装置、电线电缆、设备租赁。收入主要来自装备交付与后市场服务。</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液压支架等煤矿综采装备；2. 矿山机械制造与智能化改造；3. 工业自动控制系统装置；4. 电线电缆；5. 设备租赁与专业维修服务。2025年收购的高端支架公司（2024年营收5.51亿元）进一步补强高端支架能力。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客户以山东能源集团内部煤矿企业为主，同时面向外部煤炭企业。依托集团内部协同，订单与回款相对稳定。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主要采购钢材、液压元件、电气件等，部分依托山东能源集团集采体系。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位于邹城矿山装备集群，具备液压支架等大型煤矿装备制造能力，拥有高新技术企业、企业技术中心资质及240余项专利。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以集团内部配套销售为主，辅以外部煤矿客户直销。</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单体财务数据未公开披露（并入兖矿能源600188合并报表）。作为集团内部装备平台，其市场份额以集团内部配套为主。</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26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c>
          <w:tcPr>
            <w:tcW w:type="dxa" w:w="2268"/>
          </w:tcPr>
          <w:p>
            <w:pPr>
              <w:spacing w:lineRule="exact" w:line="600"/>
              <w:jc w:val="center"/>
            </w:pPr>
            <w:r/>
            <w:r>
              <w:rPr>
                <w:rFonts w:ascii="黑体" w:hAnsi="黑体" w:eastAsia="黑体"/>
                <w:b/>
                <w:color w:val="000000"/>
                <w:sz w:val="32"/>
              </w:rPr>
              <w:t>2025年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268"/>
          </w:tcPr>
          <w:p>
            <w:pPr>
              <w:spacing w:lineRule="exact" w:line="600"/>
              <w:jc w:val="center"/>
            </w:pPr>
            <w:r/>
            <w:r>
              <w:rPr>
                <w:rFonts w:ascii="仿宋_GB2312" w:hAnsi="仿宋_GB2312" w:eastAsia="仿宋_GB2312"/>
                <w:b w:val="0"/>
                <w:color w:val="000000"/>
                <w:sz w:val="32"/>
              </w:rPr>
              <w:t>未公开（并入600188）</w:t>
            </w:r>
          </w:p>
        </w:tc>
        <w:tc>
          <w:tcPr>
            <w:tcW w:type="dxa" w:w="2268"/>
          </w:tcPr>
          <w:p>
            <w:pPr>
              <w:spacing w:lineRule="exact" w:line="600"/>
              <w:jc w:val="center"/>
            </w:pPr>
            <w:r/>
            <w:r>
              <w:rPr>
                <w:rFonts w:ascii="仿宋_GB2312" w:hAnsi="仿宋_GB2312" w:eastAsia="仿宋_GB2312"/>
                <w:b w:val="0"/>
                <w:color w:val="000000"/>
                <w:sz w:val="32"/>
              </w:rPr>
              <w:t>未公开（并入600188）</w:t>
            </w:r>
          </w:p>
        </w:tc>
        <w:tc>
          <w:tcPr>
            <w:tcW w:type="dxa" w:w="2268"/>
          </w:tcPr>
          <w:p>
            <w:pPr>
              <w:spacing w:lineRule="exact" w:line="600"/>
              <w:jc w:val="center"/>
            </w:pPr>
            <w:r/>
            <w:r>
              <w:rPr>
                <w:rFonts w:ascii="仿宋_GB2312" w:hAnsi="仿宋_GB2312" w:eastAsia="仿宋_GB2312"/>
                <w:b w:val="0"/>
                <w:color w:val="000000"/>
                <w:sz w:val="32"/>
              </w:rPr>
              <w:t>未公开（并入600188）</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r>
      <w:tr>
        <w:tc>
          <w:tcPr>
            <w:tcW w:type="dxa" w:w="2835"/>
          </w:tcPr>
          <w:p>
            <w:pPr>
              <w:spacing w:lineRule="exact" w:line="600"/>
              <w:jc w:val="center"/>
            </w:pPr>
            <w:r/>
            <w:r>
              <w:rPr>
                <w:rFonts w:ascii="仿宋_GB2312" w:hAnsi="仿宋_GB2312" w:eastAsia="仿宋_GB2312"/>
                <w:b w:val="0"/>
                <w:color w:val="000000"/>
                <w:sz w:val="32"/>
              </w:rPr>
              <w:t>经营现金流净额</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c>
          <w:tcPr>
            <w:tcW w:type="dxa" w:w="2268"/>
          </w:tcPr>
          <w:p>
            <w:pPr>
              <w:spacing w:lineRule="exact" w:line="600"/>
              <w:jc w:val="center"/>
            </w:pPr>
            <w:r/>
            <w:r>
              <w:rPr>
                <w:rFonts w:ascii="仿宋_GB2312" w:hAnsi="仿宋_GB2312" w:eastAsia="仿宋_GB2312"/>
                <w:b w:val="0"/>
                <w:color w:val="000000"/>
                <w:sz w:val="32"/>
              </w:rPr>
              <w:t>未公开</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单体财务未公开。盈利依托集团内部装备需求，受煤炭行业景气与集团资本开支影响。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单体财务未公开。公司资产以大型制造装备、厂房及对外投资为主，2025年收购高端支架公司后资产规模进一步扩大。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单体财务未公开。作为山东能源控股企业，融资与资信由集团支撑。</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单体财务未公开。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可参照郑煤机、天地科技等煤机上市企业。因单体未披露，建议以兖矿能源合并报表作参考。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国有控股企业，设党委会、董事会、经理层，落实"三重一大"决策制度与党委前置研究程序，控股股东兖矿能源、兖煤国际，实控山东能源集团（省属国资）。</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法定代表人、总经理张立，管理层具山东能源集团背景。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作为大型国企子公司，建立完整内控与合规体系，党委会与董事会协同治理。参保人数76人（2025年报，口径偏小，实际依托集团与对外投资体系运营）。</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公司技术与管理人员为主，拥有省级企业技术中心与技术创新示范企业平台，研发实力较强。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国资背景：山东能源集团控股，订单与资信优势突出；2. 集团协同：内部煤矿配套保障稳定需求；3. 技术与资质：高新技术企业、企业技术中心，240余项专利；4. 产能整合：2025年收购高端支架公司，补强高端支架制造能力。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行业周期风险：煤炭行业投资波动影响装备需求；2. 客户集中风险：高度依赖集团内部，外部拓展有限；3. 整合风险：收购标的的整合与协同尚需磨合；4. 应对措施：依托集团稳定需求，推进高端化与智能化，强化内部协同。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建议协同切入点：1. 供应链金融：围绕上游钢材、液压件供应商开展保理；2. 融资租赁：支持智能化产线升级；3. 鉴于国企属性，可由山东能源体系内金融机构主导，山东投资可探索产业基金协同；4. 小贷与流动性支持针对中小配套商。</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华重工是山东能源矿山装备核心平台，国资信用与集团协同优势显著，但单体透明度低、市场化程度有限。发展展望：煤矿智能化、高端化改造带来装备升级需求。建议：山东投资可优先以供应链金融、产业基金协同切入，依托集团信用审慎合作。</w:t>
      </w:r>
    </w:p>
    <w:p>
      <w:pPr>
        <w:spacing w:lineRule="exact" w:line="600" w:before="0" w:after="0"/>
        <w:jc w:val="left"/>
      </w:pPr>
      <w:r>
        <w:rPr>
          <w:rFonts w:ascii="仿宋_GB2312" w:hAnsi="仿宋_GB2312" w:eastAsia="仿宋_GB2312"/>
          <w:b w:val="0"/>
          <w:color w:val="000000"/>
          <w:sz w:val="28"/>
        </w:rPr>
        <w:t>数据来源说明：国家企业信用信息公示系统、天眼查、企查查、爱企查、兖矿能源（600188）关于收购高端支架公司的公告（2025年11月）、中国新闻网山东报道。单体财务因非上市未公开，已如实标注。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