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山东淄博周村区(矿物功能新材料)特色产业集群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山东凯圣晶新材料科技有限公司企业分析报告</w:t>
      </w:r>
    </w:p>
    <w:p>
      <w:pPr>
        <w:spacing w:lineRule="exact" w:line="600" w:before="0" w:after="0"/>
        <w:jc w:val="left"/>
      </w:pPr>
      <w:r>
        <w:rPr>
          <w:rFonts w:ascii="仿宋_GB2312" w:hAnsi="仿宋_GB2312" w:eastAsia="仿宋_GB2312"/>
          <w:b w:val="0"/>
          <w:color w:val="000000"/>
          <w:sz w:val="28"/>
        </w:rPr>
        <w:t>（本报告数据来源于全国企业信用信息公示系统及天眼查、顺企网、天下工厂网、中国化信网等公开工商与商务平台信息，以及淄博市周村区人民政府官网、淄博市自然资源局公开文件、经济日报、大众日报等权威媒体报道。本批次企业均位于"山东淄博周村区(矿物功能新材料)特色产业集群"范围内，均为非上市小微企业，财务数据未公开披露；本报告对未公开数据不作任何推测或估算，统计时点截至最新可查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凯圣晶新材料科技有限公司（以下简称"凯圣晶"或"公司"），统一社会信用代码91370306MA3WAT6P8L，企业登记状态为存续。公司成立于2021年3月8日，经营开始时间为2021年3月8日，登记机关为淄博市周村区市场监督管理局。</w:t>
      </w:r>
    </w:p>
    <w:p>
      <w:pPr>
        <w:spacing w:lineRule="exact" w:line="600" w:before="0" w:after="0"/>
        <w:ind w:firstLine="420"/>
        <w:jc w:val="both"/>
      </w:pPr>
      <w:r>
        <w:rPr>
          <w:rFonts w:ascii="仿宋_GB2312" w:hAnsi="仿宋_GB2312" w:eastAsia="仿宋_GB2312"/>
          <w:b w:val="0"/>
          <w:color w:val="000000"/>
          <w:sz w:val="32"/>
        </w:rPr>
        <w:t>公司注册资本为1,000万元人民币，币种为人民币。企业类型为有限责任公司（自然人独资），法定代表人为刘经堂，亦是公司唯一股东、实际控制人，持股比例100%。组织机构代码MA3WAT6P-8，纳税人识别号91370306MA3WAT6P8L。</w:t>
      </w:r>
    </w:p>
    <w:p>
      <w:pPr>
        <w:spacing w:lineRule="exact" w:line="600" w:before="0" w:after="0"/>
        <w:ind w:firstLine="420"/>
        <w:jc w:val="both"/>
      </w:pPr>
      <w:r>
        <w:rPr>
          <w:rFonts w:ascii="仿宋_GB2312" w:hAnsi="仿宋_GB2312" w:eastAsia="仿宋_GB2312"/>
          <w:b w:val="0"/>
          <w:color w:val="000000"/>
          <w:sz w:val="32"/>
        </w:rPr>
        <w:t>需如实说明区位问题：公司的注册地址为"山东省淄博市周村区丝绸路街道办事处盛世国际A座621室"，这是一处商住/写字楼办公场所，并非工业厂房或生产园区，与公司经营范围中列举的"高性能纤维及复合材料制造""非金属矿物制品制造"等生产类项目存在物理空间上的不匹配。换言之，公开信息未见公司拥有实际生产制造场地的证据，其业务更可能以研发、贸易、技术服务于办公模式开展。公司被纳入"山东淄博周村区(矿物功能新材料)特色产业集群"的分析范围，主要依据其名称与经营范围所体现的"新材料"属性，以及周村区新材料产业的区域归属；但其是否在周村新材料产业聚集区（王村镇）内实际开展生产，公开信息无法证实。金融机构须通过实地尽调核实其真实生产经营场所与业务实质。</w:t>
      </w:r>
    </w:p>
    <w:p>
      <w:pPr>
        <w:spacing w:lineRule="exact" w:line="600" w:before="0" w:after="0"/>
        <w:ind w:firstLine="420"/>
        <w:jc w:val="both"/>
      </w:pPr>
      <w:r>
        <w:rPr>
          <w:rFonts w:ascii="仿宋_GB2312" w:hAnsi="仿宋_GB2312" w:eastAsia="仿宋_GB2312"/>
          <w:b w:val="0"/>
          <w:color w:val="000000"/>
          <w:sz w:val="32"/>
        </w:rPr>
        <w:t>国民经济行业分类为科技推广和应用服务业〉技术推广服务〉新材料技术推广服务。公司被公开平台标注为"小微企业"。</w:t>
      </w:r>
    </w:p>
    <w:p>
      <w:pPr>
        <w:spacing w:lineRule="exact" w:line="600" w:before="120" w:after="120"/>
        <w:ind w:firstLine="420"/>
        <w:jc w:val="left"/>
      </w:pPr>
      <w:r>
        <w:rPr>
          <w:rFonts w:ascii="楷体_GB2312" w:hAnsi="楷体_GB2312" w:eastAsia="楷体_GB2312"/>
          <w:b w:val="0"/>
          <w:color w:val="000000"/>
          <w:sz w:val="32"/>
        </w:rPr>
        <w:t>（二）股权结构与组织架构</w:t>
      </w:r>
    </w:p>
    <w:p>
      <w:pPr>
        <w:spacing w:lineRule="exact" w:line="600" w:before="0" w:after="0"/>
        <w:ind w:firstLine="420"/>
        <w:jc w:val="both"/>
      </w:pPr>
      <w:r>
        <w:rPr>
          <w:rFonts w:ascii="仿宋_GB2312" w:hAnsi="仿宋_GB2312" w:eastAsia="仿宋_GB2312"/>
          <w:b w:val="0"/>
          <w:color w:val="000000"/>
          <w:sz w:val="32"/>
        </w:rPr>
        <w:t>公司企业类型为"有限责任公司（自然人独资）"，由刘经堂单一自然人全额出资设立并持有100%股权，刘经堂即为法定代表人、执行董事兼实际控制人。这一股权结构决策效率高，但缺乏外部股东制衡与治理约束，公司命运与实际控制人的经营能力、个人信用及健康状况高度绑定。</w:t>
      </w:r>
    </w:p>
    <w:p>
      <w:pPr>
        <w:spacing w:lineRule="exact" w:line="600" w:before="0" w:after="0"/>
        <w:ind w:firstLine="420"/>
        <w:jc w:val="both"/>
      </w:pPr>
      <w:r>
        <w:rPr>
          <w:rFonts w:ascii="仿宋_GB2312" w:hAnsi="仿宋_GB2312" w:eastAsia="仿宋_GB2312"/>
          <w:b w:val="0"/>
          <w:color w:val="000000"/>
          <w:sz w:val="32"/>
        </w:rPr>
        <w:t>公司未公开披露子公司、分支机构或对外投资信息，组织形态为单一法人主体。需提示：名称相近的"山东圣晶新材料科技有限公司"（位于威海市环翠区，法定代表人徐凯）与本公司并非同一主体，检索中须避免混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2021年3月，至今已持续经营约五年，属于较年轻的创业型企业。其登记经营范围极为宽泛，覆盖新材料研发、合成材料制造、涂料、塑料制品、轻质建筑材料、高性能纤维及复合材料制造、专用化学品制造等多个方向，体现"广覆盖、轻资产"的创业特征。</w:t>
      </w:r>
    </w:p>
    <w:p>
      <w:pPr>
        <w:spacing w:lineRule="exact" w:line="600" w:before="0" w:after="0"/>
        <w:ind w:firstLine="420"/>
        <w:jc w:val="both"/>
      </w:pPr>
      <w:r>
        <w:rPr>
          <w:rFonts w:ascii="仿宋_GB2312" w:hAnsi="仿宋_GB2312" w:eastAsia="仿宋_GB2312"/>
          <w:b w:val="0"/>
          <w:color w:val="000000"/>
          <w:sz w:val="32"/>
        </w:rPr>
        <w:t>公司未公开披露具体的产品研发进展、产能建设或经营成果，基于其注册于写字楼、未见生产场地的情况，判断其尚处于业务培育或贸易/技术服务为主的早期阶段。</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的登记经营范围（节选核心）为：新材料技术研发；新型金属功能材料销售；合成材料制造（不含危险化学品）；涂料制造与销售；塑料制品制造；轻质建筑材料制造；新型建筑材料制造；五金产品研发；非金属矿物制品制造；专用化学产品制造与销售；高性能纤维及复合材料制造；电子专用材料研发；建筑装饰材料销售；化工产品销售等。许可项目：各类工程建设活动。</w:t>
      </w:r>
    </w:p>
    <w:p>
      <w:pPr>
        <w:spacing w:lineRule="exact" w:line="600" w:before="0" w:after="0"/>
        <w:ind w:firstLine="420"/>
        <w:jc w:val="both"/>
      </w:pPr>
      <w:r>
        <w:rPr>
          <w:rFonts w:ascii="仿宋_GB2312" w:hAnsi="仿宋_GB2312" w:eastAsia="仿宋_GB2312"/>
          <w:b w:val="0"/>
          <w:color w:val="000000"/>
          <w:sz w:val="32"/>
        </w:rPr>
        <w:t>从经营范围看，公司的定位是"新材料领域的技术推广与综合贸易服务商"，业务意图覆盖研发、制造、销售全链条，但"制造"类项目是否实际落地，取决于其是否拥有相应的生产场地与设备——而就公开信息而言，公司注册于写字楼办公单元，未见生产制造的物理基础。因此本报告对其"制造"类业务的实际开展情况持审慎态度，并建议以实地尽调结论为准。</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小微企业，未公开披露分产品、分地区的收入构成数据，本报告不作推测。基于其登记经营范围，可定性判断其业务大概率由以下部分构成：一是新材料技术推广、技术研发与咨询服务收入；二是新型金属功能材料、合成材料、涂料、塑料制品、建筑装饰材料等的贸易销售；三是若实际拥有生产条件，可能涉及部分高性能纤维及复合材料、专用化学品的制造。但考虑到注册地为写字楼，前两类（技术＋贸易）应为现实主力。</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据经营范围，公司意向覆盖的产品线极宽，包括高性能纤维及复合材料、合成材料、涂料、轻质建筑材料、专用化学品、电子专用材料等。但"意向覆盖"不等于"实际生产"，在未见生产场地与设备的情形下，本报告不对其具体产品产能作任何陈述，仅将其经营范围作为业务方向性信息予以列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未公开披露客户名称与集中度数据。若其以贸易与技术推广为主业，下游客户可能为建筑工程、建材经销商、工业企业等；若涉及"各类工程建设活动"许可项目，则可能面向工程总包与业主方。具体客户结构与回款特征需通过实地尽调核实。</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若以贸易为主，公司主要向上游材料生产型企业采购新型金属功能材料、合成材料、涂料、建材等产品用于转售；若开展"工程建设活动"，则需采购建材与施工资源。具体采购结构未公开披露，本报告不作推测。</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公司未公开披露产能、产量或占地面积数据，且注册地为写字楼办公单元，未见自有生产场地，本报告不对其制造产能作任何陈述。资质方面，经营范围含"各类工程建设活动"（许可项目），实际开展须取得相应的建筑业企业资质；公司是否持有相关资质，未在公开渠道查得，本报告不作推测。</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公司未公开披露销售渠道信息。基于其小微企业与写字楼注册属性，推测其以直销、线上B2B平台与熟人网络为主，具体渠道结构与成效未知。</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经营数据未公开披露，本报告不作推测。从市场地位判断，公司成立时间短、规模小（小微企业、注册资本1,000万、自然人独资），在周村区矿物功能新材料集群内属于初创型配套企业，并非集群报道中重点提及的龙头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（一）财务数据披露情况说明</w:t>
      </w:r>
    </w:p>
    <w:p>
      <w:pPr>
        <w:spacing w:lineRule="exact" w:line="600" w:before="0" w:after="0"/>
        <w:ind w:firstLine="420"/>
        <w:jc w:val="both"/>
      </w:pPr>
      <w:r>
        <w:rPr>
          <w:rFonts w:ascii="仿宋_GB2312" w:hAnsi="仿宋_GB2312" w:eastAsia="仿宋_GB2312"/>
          <w:b w:val="0"/>
          <w:color w:val="000000"/>
          <w:sz w:val="32"/>
        </w:rPr>
        <w:t>公司为非上市有限责任公司，依法无需向社会公众披露财务报表。经检索公开渠道（含企业信用信息公示系统年报公示、第三方商业数据平台、新闻媒体报道等），未获取到公司的营业收入、净利润、总资产、负债、现金流等具体财务数据。据此，本报告明确标注：本企业财务数据未公开披露。本报告严格遵守数据真实性原则，不对上述财务指标作任何推测、估算或类比填充。</w:t>
      </w:r>
    </w:p>
    <w:p>
      <w:pPr>
        <w:spacing w:lineRule="exact" w:line="600" w:before="120" w:after="120"/>
        <w:ind w:firstLine="420"/>
        <w:jc w:val="left"/>
      </w:pPr>
      <w:r>
        <w:rPr>
          <w:rFonts w:ascii="楷体_GB2312" w:hAnsi="楷体_GB2312" w:eastAsia="楷体_GB2312"/>
          <w:b w:val="0"/>
          <w:color w:val="000000"/>
          <w:sz w:val="32"/>
        </w:rPr>
        <w:t>（二）可获取的间接财务信息</w:t>
      </w:r>
    </w:p>
    <w:p>
      <w:pPr>
        <w:spacing w:lineRule="exact" w:line="600" w:before="0" w:after="0"/>
        <w:ind w:firstLine="420"/>
        <w:jc w:val="both"/>
      </w:pPr>
      <w:r>
        <w:rPr>
          <w:rFonts w:ascii="仿宋_GB2312" w:hAnsi="仿宋_GB2312" w:eastAsia="仿宋_GB2312"/>
          <w:b w:val="0"/>
          <w:color w:val="000000"/>
          <w:sz w:val="32"/>
        </w:rPr>
        <w:t>通过工商登记信息可获取的与财务相关的间接信息有：一是注册资本1,000万元人民币（认缴金额，实缴情况未公示）；二是企业被标注为"小微企业"；三是注册于写字楼办公单元，重资产投入迹象弱，推测其以轻资产运营为主。</w:t>
      </w:r>
    </w:p>
    <w:p>
      <w:pPr>
        <w:spacing w:lineRule="exact" w:line="600" w:before="120" w:after="120"/>
        <w:ind w:firstLine="420"/>
        <w:jc w:val="left"/>
      </w:pPr>
      <w:r>
        <w:rPr>
          <w:rFonts w:ascii="楷体_GB2312" w:hAnsi="楷体_GB2312" w:eastAsia="楷体_GB2312"/>
          <w:b w:val="0"/>
          <w:color w:val="000000"/>
          <w:sz w:val="32"/>
        </w:rPr>
        <w:t>（三）财务尽职调查建议</w:t>
      </w:r>
    </w:p>
    <w:p>
      <w:pPr>
        <w:spacing w:lineRule="exact" w:line="600" w:before="0" w:after="0"/>
        <w:ind w:firstLine="420"/>
        <w:jc w:val="both"/>
      </w:pPr>
      <w:r>
        <w:rPr>
          <w:rFonts w:ascii="仿宋_GB2312" w:hAnsi="仿宋_GB2312" w:eastAsia="仿宋_GB2312"/>
          <w:b w:val="0"/>
          <w:color w:val="000000"/>
          <w:sz w:val="32"/>
        </w:rPr>
        <w:t>鉴于公开财务信息完全缺失，建议金融机构在开展任何业务前，必须通过以下途径获取并交叉验证财务信息：一是取得企业近三年完整财务报表，并尽可能要求提供经审计版本；二是调取近两年增值税纳税申报表、企业所得税汇算清缴报告与开票数据；三是调取主要银行账户近12个月对账流水，核验实际经营现金流与业务规模；四是核查实际控制人刘经堂个人征信、涉诉记录与对外担保情况；五是通过企业信用信息公示系统、中国裁判文书网、被执行人信息系统核查行政处罚、司法诉讼、失信被执行等负面记录；六是实地核查其真实经营场所、人员与业务实质。</w:t>
      </w:r>
    </w:p>
    <w:p>
      <w:pPr>
        <w:spacing w:lineRule="exact" w:line="600" w:before="120" w:after="120"/>
        <w:ind w:firstLine="420"/>
        <w:jc w:val="left"/>
      </w:pPr>
      <w:r>
        <w:rPr>
          <w:rFonts w:ascii="楷体_GB2312" w:hAnsi="楷体_GB2312" w:eastAsia="楷体_GB2312"/>
          <w:b w:val="0"/>
          <w:color w:val="000000"/>
          <w:sz w:val="32"/>
        </w:rPr>
        <w:t>（四）财务风险的定性判断</w:t>
      </w:r>
    </w:p>
    <w:p>
      <w:pPr>
        <w:spacing w:lineRule="exact" w:line="600" w:before="0" w:after="0"/>
        <w:ind w:firstLine="420"/>
        <w:jc w:val="both"/>
      </w:pPr>
      <w:r>
        <w:rPr>
          <w:rFonts w:ascii="仿宋_GB2312" w:hAnsi="仿宋_GB2312" w:eastAsia="仿宋_GB2312"/>
          <w:b w:val="0"/>
          <w:color w:val="000000"/>
          <w:sz w:val="32"/>
        </w:rPr>
        <w:t>在缺乏具体数据的前提下，基于行业与企业类型的一般规律，可作出的定性判断是：此类初创型轻资产小微企业普遍面临"自有资本薄弱、抗风险能力弱、经营稳定性待验证"的特征。其最大财务风险在于业务实质与收入规模的不确定——若实际以贸易与技术服务为主、缺乏稳定大客户与核心技术，则经营性现金流可能高度波动，偿债能力缺乏支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自然人独资），由单一自然人股东全资持有，法定代表人为刘经堂。按《公司法》规定，一人有限责任公司不设股东会，股东行使职权应采用书面形式。此类治理结构决策链条极短，适合小规模灵活经营；但同时缺乏制衡机制与独立监督，重大决策依赖个人判断。尤为需关注《公司法》关于一人有限责任公司股东财产独立推定责任的规定——若不能证明公司财产独立于股东财产，股东须对公司债务承担连带责任，这在债权人视角下既是风险提示也是一定保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兼唯一股东为刘经堂，公开渠道未披露更详细的管理团队构成、专业背景与从业经历，本报告不作推测。对自然人独资的初创企业，实际控制人的行业经验、个人品行与资源网络是企业信用最核心的决定因素。建议在尽调中重点了解刘经堂的从业年限、行业口碑与个人资产状况，并将其个人及配偶的连带责任保证作为业务开展的必要条件。</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公司规模小、组织层级简单，内部控制体系大概率不健全，这是同类小微企业的普遍状态。关键风险点在于财务与出纳职责可能未分离、缺乏规范成本核算、合同与印章管理不规范。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公司未公开披露参保人数与人员规模。基于其小微企业与写字楼办公属性，估计用工规模极小（可能仅数人），具体数字需通过实地走访与社保核查确认。</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业务方向贴合新材料产业政策。公司经营范围覆盖高性能纤维及复合材料、专用化学品、电子专用材料等国家重点鼓励的新材料方向，若能在任一细分领域形成真实的技术或渠道能力，将具备一定政策与市场需求支撑。</w:t>
      </w:r>
    </w:p>
    <w:p>
      <w:pPr>
        <w:spacing w:lineRule="exact" w:line="600" w:before="0" w:after="0"/>
        <w:ind w:firstLine="420"/>
        <w:jc w:val="both"/>
      </w:pPr>
      <w:r>
        <w:rPr>
          <w:rFonts w:ascii="仿宋_GB2312" w:hAnsi="仿宋_GB2312" w:eastAsia="仿宋_GB2312"/>
          <w:b w:val="0"/>
          <w:color w:val="000000"/>
          <w:sz w:val="32"/>
        </w:rPr>
        <w:t>第二，轻资产运营的灵活性。公司注册于写字楼、以贸易与技术推广为主的模式，固定资产投入低、转型灵活，试错成本相对较小。</w:t>
      </w:r>
    </w:p>
    <w:p>
      <w:pPr>
        <w:spacing w:lineRule="exact" w:line="600" w:before="0" w:after="0"/>
        <w:ind w:firstLine="420"/>
        <w:jc w:val="both"/>
      </w:pPr>
      <w:r>
        <w:rPr>
          <w:rFonts w:ascii="仿宋_GB2312" w:hAnsi="仿宋_GB2312" w:eastAsia="仿宋_GB2312"/>
          <w:b w:val="0"/>
          <w:color w:val="000000"/>
          <w:sz w:val="32"/>
        </w:rPr>
        <w:t>须客观指出公司护城河极为薄弱：一是成立时间短（2021年）、规模极小（小微企业、注册资本1,000万），尚未经历完整行业周期检验；二是注册于写字楼，未见实际生产场地与制造能力，经营范围所列"制造"类项目是否落地存疑；三是自然人独资，缺乏股东资源与治理制衡；四是未见专利、高新技术企业等技术创新佐证。综合判断，公司当前尚未形成可识别的竞争壁垒，属于典型的初创型轻资产小微企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一是下游钢铁、建材、有色行业周期风险。矿物功能新材料与耐火保温材料的下游主要为钢铁、冶金、建材、石化、电力等高耗能行业。上述行业受宏观投资、房地产周期与产能调控政策影响显著，需求波动会直接传导至上游材料企业的订单与价格。</w:t>
      </w:r>
    </w:p>
    <w:p>
      <w:pPr>
        <w:spacing w:lineRule="exact" w:line="600" w:before="0" w:after="0"/>
        <w:ind w:firstLine="420"/>
        <w:jc w:val="both"/>
      </w:pPr>
      <w:r>
        <w:rPr>
          <w:rFonts w:ascii="仿宋_GB2312" w:hAnsi="仿宋_GB2312" w:eastAsia="仿宋_GB2312"/>
          <w:b w:val="0"/>
          <w:color w:val="000000"/>
          <w:sz w:val="32"/>
        </w:rPr>
        <w:t>二是环保与"双碳"政策风险。矿物材料加工与耐材煅烧属于高能耗、易产生粉尘排放的工序，受环保督察、错峰生产、能耗双控等政策约束明显。小微企业因环保投入能力有限，在监管趋严时承压更为突出。</w:t>
      </w:r>
    </w:p>
    <w:p>
      <w:pPr>
        <w:spacing w:lineRule="exact" w:line="600" w:before="0" w:after="0"/>
        <w:ind w:firstLine="420"/>
        <w:jc w:val="both"/>
      </w:pPr>
      <w:r>
        <w:rPr>
          <w:rFonts w:ascii="仿宋_GB2312" w:hAnsi="仿宋_GB2312" w:eastAsia="仿宋_GB2312"/>
          <w:b w:val="0"/>
          <w:color w:val="000000"/>
          <w:sz w:val="32"/>
        </w:rPr>
        <w:t>三是资源与产业布局政策风险。焦宝石等矿产资源的开采受严格管控，园区化、集约化是明确的政策方向。未入驻规划园区、或不符合"亩产效益"评价要求的企业，可能面临搬迁、限产乃至退出的压力。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一是规模弱小带来的抗风险能力不足。企业注册资本与人员规模有限，在原材料价格上涨、下游账期拉长或订单波动时，缺乏足够的财务缓冲。</w:t>
      </w:r>
    </w:p>
    <w:p>
      <w:pPr>
        <w:spacing w:lineRule="exact" w:line="600" w:before="0" w:after="0"/>
        <w:ind w:firstLine="420"/>
        <w:jc w:val="both"/>
      </w:pPr>
      <w:r>
        <w:rPr>
          <w:rFonts w:ascii="仿宋_GB2312" w:hAnsi="仿宋_GB2312" w:eastAsia="仿宋_GB2312"/>
          <w:b w:val="0"/>
          <w:color w:val="000000"/>
          <w:sz w:val="32"/>
        </w:rPr>
        <w:t>二是同质化竞争风险。周村王村镇聚集了大量耐材与矿物材料企业，低端产品同质化竞争激烈，价格战风险较高。</w:t>
      </w:r>
    </w:p>
    <w:p>
      <w:pPr>
        <w:spacing w:lineRule="exact" w:line="600" w:before="0" w:after="0"/>
        <w:ind w:firstLine="420"/>
        <w:jc w:val="both"/>
      </w:pPr>
      <w:r>
        <w:rPr>
          <w:rFonts w:ascii="仿宋_GB2312" w:hAnsi="仿宋_GB2312" w:eastAsia="仿宋_GB2312"/>
          <w:b w:val="0"/>
          <w:color w:val="000000"/>
          <w:sz w:val="32"/>
        </w:rPr>
        <w:t>三是客户与应收账款风险。下游钢铁、冶金企业普遍强势，账期长、议价能力强，小微供应商往往被动接受不利结算条件。</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企业财务数据未公开披露，无法进行量化的财务风险评估。基于同类小微制造企业的一般特征，可提示的潜在风险包括：自有资本薄弱、对短期借款依赖度可能较高、应收账款与存货占用营运资金比例大、缺乏规范的财务管理体系与经审计财务报表。金融机构在开展业务前，须通过实地尽调获取企业真实的财务报表、银行流水、纳税申报与用电用气数据进行交叉验证。</w:t>
      </w:r>
    </w:p>
    <w:p>
      <w:pPr>
        <w:spacing w:lineRule="exact" w:line="600" w:before="120" w:after="120"/>
        <w:ind w:firstLine="420"/>
        <w:jc w:val="left"/>
      </w:pPr>
      <w:r>
        <w:rPr>
          <w:rFonts w:ascii="楷体_GB2312" w:hAnsi="楷体_GB2312" w:eastAsia="楷体_GB2312"/>
          <w:b w:val="0"/>
          <w:color w:val="000000"/>
          <w:sz w:val="32"/>
        </w:rPr>
        <w:t>（四）合规与管理风险</w:t>
      </w:r>
    </w:p>
    <w:p>
      <w:pPr>
        <w:spacing w:lineRule="exact" w:line="600" w:before="0" w:after="0"/>
        <w:ind w:firstLine="420"/>
        <w:jc w:val="both"/>
      </w:pPr>
      <w:r>
        <w:rPr>
          <w:rFonts w:ascii="仿宋_GB2312" w:hAnsi="仿宋_GB2312" w:eastAsia="仿宋_GB2312"/>
          <w:b w:val="0"/>
          <w:color w:val="000000"/>
          <w:sz w:val="32"/>
        </w:rPr>
        <w:t>一是安全生产风险。窑炉高温作业、粉尘环境、机械加工均存在安全隐患。二是治理结构风险。企业为自然人独资或法人控股形式，所有权与经营权高度集中，缺乏外部制衡。三是信息透明度风险。企业未公开披露财务与经营数据，外部机构难以获取充分信息，尽职调查成本较高。</w:t>
      </w:r>
    </w:p>
    <w:p>
      <w:pPr>
        <w:spacing w:lineRule="exact" w:line="600" w:before="120" w:after="120"/>
        <w:ind w:firstLine="420"/>
        <w:jc w:val="left"/>
      </w:pPr>
      <w:r>
        <w:rPr>
          <w:rFonts w:ascii="楷体_GB2312" w:hAnsi="楷体_GB2312" w:eastAsia="楷体_GB2312"/>
          <w:b w:val="0"/>
          <w:color w:val="000000"/>
          <w:sz w:val="32"/>
        </w:rPr>
        <w:t>（五）本企业特有风险提示</w:t>
      </w:r>
    </w:p>
    <w:p>
      <w:pPr>
        <w:spacing w:lineRule="exact" w:line="600" w:before="0" w:after="0"/>
        <w:ind w:firstLine="420"/>
        <w:jc w:val="both"/>
      </w:pPr>
      <w:r>
        <w:rPr>
          <w:rFonts w:ascii="仿宋_GB2312" w:hAnsi="仿宋_GB2312" w:eastAsia="仿宋_GB2312"/>
          <w:b w:val="0"/>
          <w:color w:val="000000"/>
          <w:sz w:val="32"/>
        </w:rPr>
        <w:t>一是业务实质与注册地错配风险。公司注册于写字楼办公单元，经营范围却包含大量"制造"类项目，二者物理空间不匹配，存在"名为制造、实为贸易/空壳"或尚未落地制造业务的可能。在核实清楚之前，不应采信其"制造"类业务表述。</w:t>
      </w:r>
    </w:p>
    <w:p>
      <w:pPr>
        <w:spacing w:lineRule="exact" w:line="600" w:before="0" w:after="0"/>
        <w:ind w:firstLine="420"/>
        <w:jc w:val="both"/>
      </w:pPr>
      <w:r>
        <w:rPr>
          <w:rFonts w:ascii="仿宋_GB2312" w:hAnsi="仿宋_GB2312" w:eastAsia="仿宋_GB2312"/>
          <w:b w:val="0"/>
          <w:color w:val="000000"/>
          <w:sz w:val="32"/>
        </w:rPr>
        <w:t>二是初创期经营稳定性风险。公司成立仅约五年、自然人独资、小微企业，尚未形成稳定的客户基础与现金流，抗风险能力弱，经营可持续性的不确定性高于成熟企业。</w:t>
      </w:r>
    </w:p>
    <w:p>
      <w:pPr>
        <w:spacing w:lineRule="exact" w:line="600" w:before="0" w:after="0"/>
        <w:ind w:firstLine="420"/>
        <w:jc w:val="both"/>
      </w:pPr>
      <w:r>
        <w:rPr>
          <w:rFonts w:ascii="仿宋_GB2312" w:hAnsi="仿宋_GB2312" w:eastAsia="仿宋_GB2312"/>
          <w:b w:val="0"/>
          <w:color w:val="000000"/>
          <w:sz w:val="32"/>
        </w:rPr>
        <w:t>三是信息与品牌混淆风险。市场上存在名称相近的"山东圣晶新材料科技有限公司"（威海，徐凯），检索与尽调中须严格区分主体，避免将其他企业的信用或风险错误归集至本公司。</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山东凯圣晶新材料科技有限公司为非上市小微企业，财务数据未公开披露，无法基于公开信息判断其具体的资金缺口规模与偿债能力。基于其行业属性（矿物功能新材料）与企业规模，可作出的定性判断是：此类企业的融资需求通常具有"额度小、频次高、期限短、与订单和采购周期强相关"的特征，主要用于原材料采购备货、应收账款账期垫资与设备技改投入。开展任何实质性业务前，必须完成实地尽职调查，获取经审计或经核验的财务报表、纳税与开票数据、银行流水、用电用气记录及主要购销合同。</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若企业下游客户为钢铁、冶金、建材等行业的规模以上企业或上市公司，其应收账款具备开展保理业务的基础。建议采取"有追索权保理"模式，严格执行应收账款确权程序（要求债务人书面确认应收账款真实性、金额与付款期限），并将融资比例控制在应收账款金额的适度水平。优先选择债务人为大型国有钢铁企业或上市公司的应收账款作为基础资产，此类资产的回款确定性最高。同时应通过发票、出库单、验收单等贸易单据核验交易真实性，防范虚构应收账款风险。</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这是服务此类小微企业最具可行性的路径。公司业务以新材料技术推广与贸易为主，处于产业链服务环节，上下游均较为分散。建议山东投资以周村新材料产业聚集区内的龙头企业（如山东耐材集团、八三石墨、大陆石墨等）以及下游大型钢铁冶金企业为核心企业，搭建供应链金融平台，将本企业作为核心企业上游供应商或下游经销商纳入服务范围。通过核心企业的信用穿透与交易数据确权，可在不依赖小微企业自身信用的前提下实现低风险融资投放。</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矿物功能新材料生产属于设备密集型行业，涉及窑炉、熔炼设备、压制成型机、破碎研磨设备、除尘环保装置等，设备价值明确、通用性较好、二手市场存在，具备开展融资租赁的物权基础。建议采用"直接租赁"支持企业的设备更新与技改升级——这与周村区推动耐材产业向高质高端、绿色低碳转型的政策方向高度契合。对已有成套设备的企业，可考虑"售后回租"盘活存量资产，但须严格评估设备权属清晰性、是否已设定其他担保物权，并办理必要的登记手续。租期建议控制在3年以内，租金支付节奏匹配企业经营现金流。</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是与此类企业规模最为匹配的产品形态。建议设计"小额、短期、高频、数据驱动"的产品：一是额度控制在与企业年销售规模、纳税额相匹配的合理区间；二是期限以6—12个月为主，匹配其原料采购与货款回笼周期；三是风控上重点采用"税务数据＋发票数据＋用电用气数据＋银行流水＋实际控制人征信"的多维交叉验证，弥补财务报表缺失的信息劣势；四是要求实际控制人及其配偶提供连带责任保证担保；五是可探索与周村区政府性融资担保机构合作，通过"银政担"模式分散风险。</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对本企业采取"审慎准入、小额试水、数据积累、逐步加码"的策略。第一阶段以小额贷款或核心企业确权下的供应链融资切入，额度控制在低风险敞口范围内，通过实际业务积累企业的真实经营数据；第二阶段在验证其经营稳定性与还款意愿后，逐步引入融资租赁支持其设备升级；第三阶段视其成长为高新技术企业、专精特新企业的情况，考虑更深层次的合作。同时建议将服务视野从单一企业扩展到整个周村新材料产业聚集区，以"集群批量授信＋核心企业增信＋政府性担保"的组合模式，实现规模化、标准化的普惠金融服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凯圣晶新材料科技有限公司是一家成立于2021年、注册资本1,000万元、由自然人刘经堂全资持有的初创型小微企业，注册于周村区写字楼办公单元，经营范围覆盖新材料研发、合成材料、涂料、高性能纤维及复合材料等广泛的新材料方向，但公开信息未见其实际生产场地与制造能力佐证。</w:t>
      </w:r>
    </w:p>
    <w:p>
      <w:pPr>
        <w:spacing w:lineRule="exact" w:line="600" w:before="0" w:after="0"/>
        <w:ind w:firstLine="420"/>
        <w:jc w:val="both"/>
      </w:pPr>
      <w:r>
        <w:rPr>
          <w:rFonts w:ascii="仿宋_GB2312" w:hAnsi="仿宋_GB2312" w:eastAsia="仿宋_GB2312"/>
          <w:b w:val="0"/>
          <w:color w:val="000000"/>
          <w:sz w:val="32"/>
        </w:rPr>
        <w:t>公司的突出问题在于业务实质不确定与信息透明度低：财务数据完全未公开披露；注册地与"制造"类经营范围存在物理错配；经营年限短、规模极小。这三点使得基于公开信息的信用评估无法得出可靠结论。</w:t>
      </w:r>
    </w:p>
    <w:p>
      <w:pPr>
        <w:spacing w:lineRule="exact" w:line="600" w:before="0" w:after="0"/>
        <w:ind w:firstLine="420"/>
        <w:jc w:val="both"/>
      </w:pPr>
      <w:r>
        <w:rPr>
          <w:rFonts w:ascii="仿宋_GB2312" w:hAnsi="仿宋_GB2312" w:eastAsia="仿宋_GB2312"/>
          <w:b w:val="0"/>
          <w:color w:val="000000"/>
          <w:sz w:val="32"/>
        </w:rPr>
        <w:t>总体评价：公司属于"初创型、轻资产、信息高度不透明的小微企业"，在当前阶段不具备开展实质性授信业务的条件，须以实地尽职调查结论为准。</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周村区正推进"百亿级高温新材料产业链"，园区"1+3+N"战略为新材料企业提供产业配套与政策支持环境。若公司能依托区域产业生态，在某一新材料细分领域（如高性能纤维及复合材料、专用化学品）形成真实的技术或渠道能力，并落实生产或服务实体，仍存在成长为专精特新企业的可能。以上属方向性判断，本报告不对公司具体经营成果作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业务落地挑战。如何从"宽泛的经营范围"走向"具体的产品与收入"，是其生存的关键。二是资金挑战。初创企业自有资金有限、外部融资困难。三是规范化挑战。包括财务规范、经营场所合规（是否需入驻园区）与信息披露规范。</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结论：公司业务实质待核实、规模弱小、信息不透明，当前不具备直接授信条件，需以实地尽职调查结论为准。</w:t>
      </w:r>
    </w:p>
    <w:p>
      <w:pPr>
        <w:spacing w:lineRule="exact" w:line="600" w:before="0" w:after="0"/>
        <w:ind w:firstLine="420"/>
        <w:jc w:val="both"/>
      </w:pPr>
      <w:r>
        <w:rPr>
          <w:rFonts w:ascii="仿宋_GB2312" w:hAnsi="仿宋_GB2312" w:eastAsia="仿宋_GB2312"/>
          <w:b w:val="0"/>
          <w:color w:val="000000"/>
          <w:sz w:val="32"/>
        </w:rPr>
        <w:t>对企业的建议：一是尽快明确核心业务，聚焦1—2个新材料细分方向，避免"广撒网"式的经营范围空转；二是如确有制造业务，应落实合规生产场地与资质；三是规范财务核算并考虑审计；四是积极申报科技型中小企业、专精特新等资质，为融资增信。</w:t>
      </w:r>
    </w:p>
    <w:p>
      <w:pPr>
        <w:spacing w:lineRule="exact" w:line="600" w:before="0" w:after="0"/>
        <w:ind w:firstLine="420"/>
        <w:jc w:val="both"/>
      </w:pPr>
      <w:r>
        <w:rPr>
          <w:rFonts w:ascii="仿宋_GB2312" w:hAnsi="仿宋_GB2312" w:eastAsia="仿宋_GB2312"/>
          <w:b w:val="0"/>
          <w:color w:val="000000"/>
          <w:sz w:val="32"/>
        </w:rPr>
        <w:t>对山东投资的建议：一是暂不将本企业列入主动营销名单，如企业主动申请，则以实地尽调为前置条件；二是尽调核心聚焦"业务实质核查"——查真实经营场所与人员、查税务与银行流水验证收入、查其"制造"类业务是否真实落地；三是若尽调结论正面且确有其真实业务，建议以小额贷款切入，并要求实际控制人夫妻连带担保；四是将服务视野扩展到整个周村新材料产业聚集区，通过"集群批量授信＋核心企业增信"服务更优质的集群企业。</w:t>
      </w:r>
    </w:p>
    <w:p>
      <w:pPr>
        <w:spacing w:lineRule="exact" w:line="600" w:before="120" w:after="120"/>
        <w:ind w:firstLine="420"/>
        <w:jc w:val="left"/>
      </w:pPr>
      <w:r>
        <w:rPr>
          <w:rFonts w:ascii="黑体" w:hAnsi="黑体" w:eastAsia="黑体"/>
          <w:b w:val="0"/>
          <w:color w:val="000000"/>
          <w:sz w:val="32"/>
        </w:rPr>
        <w:t>九、集群背景补充</w:t>
      </w:r>
    </w:p>
    <w:p>
      <w:pPr>
        <w:spacing w:lineRule="exact" w:line="600" w:before="120" w:after="120"/>
        <w:ind w:firstLine="420"/>
        <w:jc w:val="left"/>
      </w:pPr>
      <w:r>
        <w:rPr>
          <w:rFonts w:ascii="楷体_GB2312" w:hAnsi="楷体_GB2312" w:eastAsia="楷体_GB2312"/>
          <w:b w:val="0"/>
          <w:color w:val="000000"/>
          <w:sz w:val="32"/>
        </w:rPr>
        <w:t>（一）集群基本情况</w:t>
      </w:r>
    </w:p>
    <w:p>
      <w:pPr>
        <w:spacing w:lineRule="exact" w:line="600" w:before="0" w:after="0"/>
        <w:ind w:firstLine="420"/>
        <w:jc w:val="both"/>
      </w:pPr>
      <w:r>
        <w:rPr>
          <w:rFonts w:ascii="仿宋_GB2312" w:hAnsi="仿宋_GB2312" w:eastAsia="仿宋_GB2312"/>
          <w:b w:val="0"/>
          <w:color w:val="000000"/>
          <w:sz w:val="32"/>
        </w:rPr>
        <w:t>"山东淄博周村区(矿物功能新材料)特色产业集群"的核心载体为周村新材料产业聚集区。据周村区人民政府公开文件，2017年6月9日，淄博市委、市政府决定在周村区、淄川区、博山区分别高标准规划建设三个新型耐火材料产业创新示范园区，并结合王村镇被列为省级焦宝石特色小镇的契机，在王村镇设立周村新材料产业聚集区。园区四至范围为北至泉王路、南至胶王路、西至宝山路、东至张古村东侧南北线，规划面积3,560亩。</w:t>
      </w:r>
    </w:p>
    <w:p>
      <w:pPr>
        <w:spacing w:lineRule="exact" w:line="600" w:before="0" w:after="0"/>
        <w:ind w:firstLine="420"/>
        <w:jc w:val="both"/>
      </w:pPr>
      <w:r>
        <w:rPr>
          <w:rFonts w:ascii="仿宋_GB2312" w:hAnsi="仿宋_GB2312" w:eastAsia="仿宋_GB2312"/>
          <w:b w:val="0"/>
          <w:color w:val="000000"/>
          <w:sz w:val="32"/>
        </w:rPr>
        <w:t>园区产业定位为：重点发展铝硅系耐火材料、无机非金属新材料、高纯氧化物特种陶瓷制品、冶金功能材料、功能陶瓷、纯净钢用高级耐火材料、先进机械装备制造等产业。园区先后被认定为中国建材联合会无机非新材料产业示范基地、山东省高温新材料特色产业集群、山东省矿物功能新材料特色产业集群，确立了"1+3+N"发展战略，着力打造无机非金属、装配式建筑、复合新材料三个产业链板块。</w:t>
      </w:r>
    </w:p>
    <w:p>
      <w:pPr>
        <w:spacing w:lineRule="exact" w:line="600" w:before="120" w:after="120"/>
        <w:ind w:firstLine="420"/>
        <w:jc w:val="left"/>
      </w:pPr>
      <w:r>
        <w:rPr>
          <w:rFonts w:ascii="楷体_GB2312" w:hAnsi="楷体_GB2312" w:eastAsia="楷体_GB2312"/>
          <w:b w:val="0"/>
          <w:color w:val="000000"/>
          <w:sz w:val="32"/>
        </w:rPr>
        <w:t>（二）集群产业基础与发展态势</w:t>
      </w:r>
    </w:p>
    <w:p>
      <w:pPr>
        <w:spacing w:lineRule="exact" w:line="600" w:before="0" w:after="0"/>
        <w:ind w:firstLine="420"/>
        <w:jc w:val="both"/>
      </w:pPr>
      <w:r>
        <w:rPr>
          <w:rFonts w:ascii="仿宋_GB2312" w:hAnsi="仿宋_GB2312" w:eastAsia="仿宋_GB2312"/>
          <w:b w:val="0"/>
          <w:color w:val="000000"/>
          <w:sz w:val="32"/>
        </w:rPr>
        <w:t>王村镇是周村区的传统工业重镇，因焦宝石矿产资源丰富，成为全国重要的焦宝石与耐材产业基地。目前王村镇已构建起集矿石开采、焦宝石煅烧、耐材制造于一体的绿色低碳耐材产业链，在全镇工业经济中占比接近80%。创新资源方面，王村镇拥有新三板挂牌企业1家、高新技术企业7家、市级工程实验室企业6家、市级企业技术中心5家、省级企业技术中心2家。</w:t>
      </w:r>
    </w:p>
    <w:p>
      <w:pPr>
        <w:spacing w:lineRule="exact" w:line="600" w:before="0" w:after="0"/>
        <w:ind w:firstLine="420"/>
        <w:jc w:val="both"/>
      </w:pPr>
      <w:r>
        <w:rPr>
          <w:rFonts w:ascii="仿宋_GB2312" w:hAnsi="仿宋_GB2312" w:eastAsia="仿宋_GB2312"/>
          <w:b w:val="0"/>
          <w:color w:val="000000"/>
          <w:sz w:val="32"/>
        </w:rPr>
        <w:t>按《淄博市周村区王村镇国土空间规划（2021—2035年）》，王村镇的城镇性质被确定为"济淄同城化的桥头堡，新材料产业强镇、中国历史文化名镇"；近期目标（2021—2025年）为"百亿级高温新材料产业链初步形成，全力冲刺全市综合实力十强镇"。集群龙头与重点企业包括山东耐材集团（山耐集团）、八三石墨、大陆石墨、乐凡新材料、嘉岳铝硅新材料、联强远大装配式建筑等。</w:t>
      </w:r>
    </w:p>
    <w:p>
      <w:pPr>
        <w:spacing w:lineRule="exact" w:line="600" w:before="120" w:after="120"/>
        <w:ind w:firstLine="420"/>
        <w:jc w:val="left"/>
      </w:pPr>
      <w:r>
        <w:rPr>
          <w:rFonts w:ascii="黑体" w:hAnsi="黑体" w:eastAsia="黑体"/>
          <w:b w:val="0"/>
          <w:color w:val="000000"/>
          <w:sz w:val="32"/>
        </w:rPr>
        <w:t>十、数据来源说明</w:t>
      </w:r>
    </w:p>
    <w:p>
      <w:pPr>
        <w:spacing w:lineRule="exact" w:line="600" w:before="0" w:after="0"/>
        <w:ind w:firstLine="420"/>
        <w:jc w:val="both"/>
      </w:pPr>
      <w:r>
        <w:rPr>
          <w:rFonts w:ascii="仿宋_GB2312" w:hAnsi="仿宋_GB2312" w:eastAsia="仿宋_GB2312"/>
          <w:b w:val="0"/>
          <w:color w:val="000000"/>
          <w:sz w:val="32"/>
        </w:rPr>
        <w:t>1. 天眼查 山东凯圣晶新材料科技有限公司工商登记与企业基础信息（统一社会信用代码91370306MA3WAT6P8L）。</w:t>
      </w:r>
    </w:p>
    <w:p>
      <w:pPr>
        <w:spacing w:lineRule="exact" w:line="600" w:before="0" w:after="0"/>
        <w:ind w:firstLine="420"/>
        <w:jc w:val="both"/>
      </w:pPr>
      <w:r>
        <w:rPr>
          <w:rFonts w:ascii="仿宋_GB2312" w:hAnsi="仿宋_GB2312" w:eastAsia="仿宋_GB2312"/>
          <w:b w:val="0"/>
          <w:color w:val="000000"/>
          <w:sz w:val="32"/>
        </w:rPr>
        <w:t>2. 全国企业信用信息公示系统 山东凯圣晶新材料科技有限公司年报公示信息。</w:t>
      </w:r>
    </w:p>
    <w:p>
      <w:pPr>
        <w:spacing w:lineRule="exact" w:line="600" w:before="0" w:after="0"/>
        <w:ind w:firstLine="420"/>
        <w:jc w:val="both"/>
      </w:pPr>
      <w:r>
        <w:rPr>
          <w:rFonts w:ascii="仿宋_GB2312" w:hAnsi="仿宋_GB2312" w:eastAsia="仿宋_GB2312"/>
          <w:b w:val="0"/>
          <w:color w:val="000000"/>
          <w:sz w:val="32"/>
        </w:rPr>
        <w:t>3. 淄博市周村区人民政府官网《对区政协第十三届五次会议第135096号提案的答复》。</w:t>
      </w:r>
    </w:p>
    <w:p>
      <w:pPr>
        <w:spacing w:lineRule="exact" w:line="600" w:before="0" w:after="0"/>
        <w:ind w:firstLine="420"/>
        <w:jc w:val="both"/>
      </w:pPr>
      <w:r>
        <w:rPr>
          <w:rFonts w:ascii="仿宋_GB2312" w:hAnsi="仿宋_GB2312" w:eastAsia="仿宋_GB2312"/>
          <w:b w:val="0"/>
          <w:color w:val="000000"/>
          <w:sz w:val="32"/>
        </w:rPr>
        <w:t>4. 淄博市自然资源局《〈淄博市周村区王村镇国土空间规划（2021—2035年）〉批后公布》（2024年12月9日）。</w:t>
      </w:r>
    </w:p>
    <w:p>
      <w:pPr>
        <w:spacing w:lineRule="exact" w:line="600" w:before="0" w:after="0"/>
        <w:ind w:firstLine="420"/>
        <w:jc w:val="both"/>
      </w:pPr>
      <w:r>
        <w:rPr>
          <w:rFonts w:ascii="仿宋_GB2312" w:hAnsi="仿宋_GB2312" w:eastAsia="仿宋_GB2312"/>
          <w:b w:val="0"/>
          <w:color w:val="000000"/>
          <w:sz w:val="32"/>
        </w:rPr>
        <w:t>5. 经济日报《山东淄博周村区：产业转型铺展"镇"兴之路》、大众日报《从"老耐材"到"新材料"》。</w:t>
      </w:r>
    </w:p>
    <w:p>
      <w:pPr>
        <w:spacing w:lineRule="exact" w:line="600" w:before="0" w:after="0"/>
        <w:jc w:val="left"/>
      </w:pPr>
      <w:r>
        <w:rPr>
          <w:rFonts w:ascii="仿宋_GB2312" w:hAnsi="仿宋_GB2312" w:eastAsia="仿宋_GB2312"/>
          <w:b w:val="0"/>
          <w:color w:val="000000"/>
          <w:sz w:val="28"/>
        </w:rPr>
        <w:t>（说明：本报告涉及的工商信息以市场监督管理部门登记公示内容为准；企业在商务平台的自述性产能与业绩描述未经独立核实，报告中已明确标注来源属性；非上市企业财务数据未公开披露，本报告不作数字推测。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