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山东淄博周村区(矿物功能新材料)特色产业集群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山东和光新材料有限公司企业分析报告</w:t>
      </w:r>
    </w:p>
    <w:p>
      <w:pPr>
        <w:spacing w:lineRule="exact" w:line="600" w:before="0" w:after="0"/>
        <w:jc w:val="left"/>
      </w:pPr>
      <w:r>
        <w:rPr>
          <w:rFonts w:ascii="仿宋_GB2312" w:hAnsi="仿宋_GB2312" w:eastAsia="仿宋_GB2312"/>
          <w:b w:val="0"/>
          <w:color w:val="000000"/>
          <w:sz w:val="28"/>
        </w:rPr>
        <w:t>（本报告数据来源于全国企业信用信息公示系统及天眼查、顺企网、天下工厂网、中国化信网等公开工商与商务平台信息，以及淄博市周村区人民政府官网、淄博市自然资源局公开文件、经济日报、大众日报等权威媒体报道。本批次企业均位于"山东淄博周村区(矿物功能新材料)特色产业集群"范围内，均为非上市小微企业，财务数据未公开披露；本报告对未公开数据不作任何推测或估算，统计时点截至最新可查信息。）</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山东和光新材料有限公司（以下简称"和光新材料"或"公司"），统一社会信用代码91370306MA3NY1ME61，企业登记状态为开业（存续）。公司成立于2018年12月29日，核准日期为2019年1月5日，登记机关为淄博市周村区市场监督管理局。</w:t>
      </w:r>
    </w:p>
    <w:p>
      <w:pPr>
        <w:spacing w:lineRule="exact" w:line="600" w:before="0" w:after="0"/>
        <w:ind w:firstLine="420"/>
        <w:jc w:val="both"/>
      </w:pPr>
      <w:r>
        <w:rPr>
          <w:rFonts w:ascii="仿宋_GB2312" w:hAnsi="仿宋_GB2312" w:eastAsia="仿宋_GB2312"/>
          <w:b w:val="0"/>
          <w:color w:val="000000"/>
          <w:sz w:val="32"/>
        </w:rPr>
        <w:t>公司注册资本为5,000万元人民币（多家公开工商平台一致显示，含顺企网、中国化信网等；个别平台存在将资本误录为1,000万元的情形，本报告以前后一致且来源更多的5,000万元为准，并提示该口径差异）。法定代表人信息在不同平台存在差异：顺企网显示为邓永荣（执行董事兼经理），部分B2B平台以王延晓作为联系人与登记法定代表人。注册地址为山东省淄博市周村区王村新产业聚集区西铺村678号（部分平台表述为"王村新产业聚集区（张古村南）"，二者指向同一聚集区范围）。</w:t>
      </w:r>
    </w:p>
    <w:p>
      <w:pPr>
        <w:spacing w:lineRule="exact" w:line="600" w:before="0" w:after="0"/>
        <w:ind w:firstLine="420"/>
        <w:jc w:val="both"/>
      </w:pPr>
      <w:r>
        <w:rPr>
          <w:rFonts w:ascii="仿宋_GB2312" w:hAnsi="仿宋_GB2312" w:eastAsia="仿宋_GB2312"/>
          <w:b w:val="0"/>
          <w:color w:val="000000"/>
          <w:sz w:val="32"/>
        </w:rPr>
        <w:t>需如实说明：公司注册地位于周村新材料产业聚集区（王村镇）范围内，与集群核心载体完全吻合，区位真实、产业归属清晰，不同于本集群内个别企业"注册地与经营地分离"的情形。国民经济行业分类为化学原料和化学制品制造业／生态环境材料制造，同时兼营非金属矿产品加工及销售。</w:t>
      </w:r>
    </w:p>
    <w:p>
      <w:pPr>
        <w:spacing w:lineRule="exact" w:line="600" w:before="120" w:after="120"/>
        <w:ind w:firstLine="420"/>
        <w:jc w:val="left"/>
      </w:pPr>
      <w:r>
        <w:rPr>
          <w:rFonts w:ascii="楷体_GB2312" w:hAnsi="楷体_GB2312" w:eastAsia="楷体_GB2312"/>
          <w:b w:val="0"/>
          <w:color w:val="000000"/>
          <w:sz w:val="32"/>
        </w:rPr>
        <w:t>（二）股权结构与组织架构</w:t>
      </w:r>
    </w:p>
    <w:p>
      <w:pPr>
        <w:spacing w:lineRule="exact" w:line="600" w:before="0" w:after="0"/>
        <w:ind w:firstLine="420"/>
        <w:jc w:val="both"/>
      </w:pPr>
      <w:r>
        <w:rPr>
          <w:rFonts w:ascii="仿宋_GB2312" w:hAnsi="仿宋_GB2312" w:eastAsia="仿宋_GB2312"/>
          <w:b w:val="0"/>
          <w:color w:val="000000"/>
          <w:sz w:val="32"/>
        </w:rPr>
        <w:t>据顺企网工商公示，公司股东为两家法人实体，各持有50%股权：一是邹平和光新材料科技有限公司，二是淄博苏李矿业有限公司。这一股权结构表明公司并非自然人独资，而是由两家具备产业背景的企业共同控制，其中"淄博苏李矿业"体现出上游矿产资源（焦宝石、铝矾土等）的纵向协同基因，"邹平和光新材料"则体现同业新材料产业方的协同。</w:t>
      </w:r>
    </w:p>
    <w:p>
      <w:pPr>
        <w:spacing w:lineRule="exact" w:line="600" w:before="0" w:after="0"/>
        <w:ind w:firstLine="420"/>
        <w:jc w:val="both"/>
      </w:pPr>
      <w:r>
        <w:rPr>
          <w:rFonts w:ascii="仿宋_GB2312" w:hAnsi="仿宋_GB2312" w:eastAsia="仿宋_GB2312"/>
          <w:b w:val="0"/>
          <w:color w:val="000000"/>
          <w:sz w:val="32"/>
        </w:rPr>
        <w:t>股东层面的产业协同是公司的一大特征：上游矿业股东可为公司提供焦宝石、铝矾土等核心原料保障，降低采购成本与供应波动风险；同业新材料股东则可提供技术、客户与渠道协同。主要管理人员公开显示为邓永荣（执行董事兼经理）、毕丽婷（监事）。公司未公开披露子公司或分支机构信息，组织形态为单一法人主体。</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2018年12月底，至今已持续经营近七年，在矿物功能新材料领域积累了一定的运营经验。据国家知识产权局公开信息，公司曾申请发明专利（公开号CN112250332A），该专利布局体现了其在生态环境材料、非金属矿物加工方向具备一定的技术研发意识与知识产权储备，这是区别于纯贸易型小微企业的积极信号。</w:t>
      </w:r>
    </w:p>
    <w:p>
      <w:pPr>
        <w:spacing w:lineRule="exact" w:line="600" w:before="0" w:after="0"/>
        <w:ind w:firstLine="420"/>
        <w:jc w:val="both"/>
      </w:pPr>
      <w:r>
        <w:rPr>
          <w:rFonts w:ascii="仿宋_GB2312" w:hAnsi="仿宋_GB2312" w:eastAsia="仿宋_GB2312"/>
          <w:b w:val="0"/>
          <w:color w:val="000000"/>
          <w:sz w:val="32"/>
        </w:rPr>
        <w:t>公司地处周村新材料产业聚集区，受益于王村镇"百亿级高温新材料产业链"的集群建设，在原料就近、配套共享、政策倾斜方面具备良好的外部成长环境。</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的登记经营范围较为宽泛，核心为：生态环境材料制造、销售；非金属矿产品加工及销售；高岭土、铝矾土、滑石、粘土骨料、耐火砖、景观砖、地聚物水泥、耐火材料、浇铸料、焦宝石、精铸砂、细粉生产、销售；建材、水泥、钢材、模具、硅酸铝制品、炼钢辅料、碳化硅、碳素制品、化工原料及产品（不含危险、易制毒化学品）、包装材料、保温材料、纸浆、机电产品销售；货物进出口。</w:t>
      </w:r>
    </w:p>
    <w:p>
      <w:pPr>
        <w:spacing w:lineRule="exact" w:line="600" w:before="0" w:after="0"/>
        <w:ind w:firstLine="420"/>
        <w:jc w:val="both"/>
      </w:pPr>
      <w:r>
        <w:rPr>
          <w:rFonts w:ascii="仿宋_GB2312" w:hAnsi="仿宋_GB2312" w:eastAsia="仿宋_GB2312"/>
          <w:b w:val="0"/>
          <w:color w:val="000000"/>
          <w:sz w:val="32"/>
        </w:rPr>
        <w:t>从经营范围看，公司的定位是"以矿物功能材料为核心的加工制造＋贸易综合服务商"，业务横跨原料（焦宝石、高岭土、铝矾土）、制品（耐火砖、浇铸料、耐火材料）与生态材料（地聚物水泥、生态环境材料）三大板块。"地聚物水泥"属于绿色低碳胶凝材料，契合"双碳"背景下建材行业减排方向，是其业务组合中的潜在亮点。</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为非上市企业，未公开披露分产品、分地区的收入构成数据，本报告不作推测。基于其登记经营范围，可定性判断其业务由三部分构成：一是非金属矿产品加工与制品制造（焦宝石、高岭土、铝矾土、耐火砖、浇铸料等），应是主要收入来源；二是生态环境材料（地聚物水泥等）制造与销售，属新兴增长点；三是建材、钢材、化工原料等外购商品的贸易销售。</w:t>
      </w:r>
    </w:p>
    <w:p>
      <w:pPr>
        <w:spacing w:lineRule="exact" w:line="600" w:before="120" w:after="120"/>
        <w:ind w:firstLine="420"/>
        <w:jc w:val="left"/>
      </w:pPr>
      <w:r>
        <w:rPr>
          <w:rFonts w:ascii="楷体_GB2312" w:hAnsi="楷体_GB2312" w:eastAsia="楷体_GB2312"/>
          <w:b w:val="0"/>
          <w:color w:val="000000"/>
          <w:sz w:val="32"/>
        </w:rPr>
        <w:t>（二）主要产品与服务</w:t>
      </w:r>
    </w:p>
    <w:p>
      <w:pPr>
        <w:spacing w:lineRule="exact" w:line="600" w:before="0" w:after="0"/>
        <w:ind w:firstLine="420"/>
        <w:jc w:val="both"/>
      </w:pPr>
      <w:r>
        <w:rPr>
          <w:rFonts w:ascii="仿宋_GB2312" w:hAnsi="仿宋_GB2312" w:eastAsia="仿宋_GB2312"/>
          <w:b w:val="0"/>
          <w:color w:val="000000"/>
          <w:sz w:val="32"/>
        </w:rPr>
        <w:t>核心产品覆盖矿物功能材料全产业链：上游原料端包括焦宝石、高岭土、铝矾土、滑石、粘土骨料、精铸砂、细粉等；制品端包括耐火砖、浇铸料、耐火材料、硅酸铝制品、碳化硅、碳素制品等；新兴材料端包括地聚物水泥、生态环境材料。其中焦宝石、铝矾土是陶瓷纤维与耐火材料的基础原料，与公司所处的周村耐材产业集群高度配套。</w:t>
      </w:r>
    </w:p>
    <w:p>
      <w:pPr>
        <w:spacing w:lineRule="exact" w:line="600" w:before="0" w:after="0"/>
        <w:ind w:firstLine="420"/>
        <w:jc w:val="both"/>
      </w:pPr>
      <w:r>
        <w:rPr>
          <w:rFonts w:ascii="仿宋_GB2312" w:hAnsi="仿宋_GB2312" w:eastAsia="仿宋_GB2312"/>
          <w:b w:val="0"/>
          <w:color w:val="000000"/>
          <w:sz w:val="32"/>
        </w:rPr>
        <w:t>"地聚物水泥"是以工业固废（粉煤灰、矿渣、煤矸石等）为原料的碱激发胶凝材料，碳排放远低于传统硅酸盐水泥，属于国家鼓励的绿色低碳建材方向，具备较好的政策与市场需求前景。若公司在该品类上已形成稳定产能与销售，将显著提升其业务的技术含量与附加值。</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未公开披露客户名称与集中度数据。基于其产品属性，下游客户主要为钢铁、冶金、建材、铸造、耐火材料等行业的企业。其中精铸砂、浇铸料主要服务于铸造与冶金行业，焦宝石、高岭土、铝矾土则服务于耐材与陶瓷行业。</w:t>
      </w:r>
    </w:p>
    <w:p>
      <w:pPr>
        <w:spacing w:lineRule="exact" w:line="600" w:before="0" w:after="0"/>
        <w:ind w:firstLine="420"/>
        <w:jc w:val="both"/>
      </w:pPr>
      <w:r>
        <w:rPr>
          <w:rFonts w:ascii="仿宋_GB2312" w:hAnsi="仿宋_GB2312" w:eastAsia="仿宋_GB2312"/>
          <w:b w:val="0"/>
          <w:color w:val="000000"/>
          <w:sz w:val="32"/>
        </w:rPr>
        <w:t>此类客户的共同特征是采购规模较大、但结算账期相对较长、议价能力较强。对小微供应商而言，客户结构越是集中于大型国企，回款确定性越高但账期越长；客户越是分散于中小民营，回款速度可能更快但坏账风险更高。尽调中须重点核实其前五大客户名单、合作年限与实际回款记录。</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公司主要原材料为焦宝石、高岭土、铝矾土等矿物原料，以及能源（电力、天然气）。在采购上，公司具有显著的区位与股东协同优势：一是周村王村镇是全国重要的焦宝石产地，本地即可就近采购；二是股东"淄博苏李矿业"主营矿业，可为公司提供上游原料的稳定供应与成本协同。这一"股东即供应商"的纵向一体化结构，是其供应链端的核心看点，但也应关注关联交易定价的公允性与独立性问题。</w:t>
      </w:r>
    </w:p>
    <w:p>
      <w:pPr>
        <w:spacing w:lineRule="exact" w:line="600" w:before="120" w:after="120"/>
        <w:ind w:firstLine="420"/>
        <w:jc w:val="left"/>
      </w:pPr>
      <w:r>
        <w:rPr>
          <w:rFonts w:ascii="楷体_GB2312" w:hAnsi="楷体_GB2312" w:eastAsia="楷体_GB2312"/>
          <w:b w:val="0"/>
          <w:color w:val="000000"/>
          <w:sz w:val="32"/>
        </w:rPr>
        <w:t>（五）产能、资源与资质</w:t>
      </w:r>
    </w:p>
    <w:p>
      <w:pPr>
        <w:spacing w:lineRule="exact" w:line="600" w:before="0" w:after="0"/>
        <w:ind w:firstLine="420"/>
        <w:jc w:val="both"/>
      </w:pPr>
      <w:r>
        <w:rPr>
          <w:rFonts w:ascii="仿宋_GB2312" w:hAnsi="仿宋_GB2312" w:eastAsia="仿宋_GB2312"/>
          <w:b w:val="0"/>
          <w:color w:val="000000"/>
          <w:sz w:val="32"/>
        </w:rPr>
        <w:t>公司未公开披露具体产能、产量与占地面积数据，本报告不作推测。已知其具备技术研发基础（申请发明专利CN112250332A），以及货物进出口经营权。</w:t>
      </w:r>
    </w:p>
    <w:p>
      <w:pPr>
        <w:spacing w:lineRule="exact" w:line="600" w:before="0" w:after="0"/>
        <w:ind w:firstLine="420"/>
        <w:jc w:val="both"/>
      </w:pPr>
      <w:r>
        <w:rPr>
          <w:rFonts w:ascii="仿宋_GB2312" w:hAnsi="仿宋_GB2312" w:eastAsia="仿宋_GB2312"/>
          <w:b w:val="0"/>
          <w:color w:val="000000"/>
          <w:sz w:val="32"/>
        </w:rPr>
        <w:t>资质方面，公司经营范围含"货物进出口"，实际开展出口业务需具备对外贸易经营者备案登记；若涉及特定危险化学品或建材生产许可，须取得相应资质。公司是否持有相关资质，未在公开渠道查得，本报告不作推测。</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公司注册并实际经营于周村新材料产业聚集区，依托产业集群的配套与口碑获取区域客户；同时通过B2B商务平台进行线上获客与展示。货物进出口经营权的存在，表明公司具备一定的外贸拓展意愿与基础。</w:t>
      </w:r>
    </w:p>
    <w:p>
      <w:pPr>
        <w:spacing w:lineRule="exact" w:line="600" w:before="120" w:after="120"/>
        <w:ind w:firstLine="420"/>
        <w:jc w:val="left"/>
      </w:pPr>
      <w:r>
        <w:rPr>
          <w:rFonts w:ascii="楷体_GB2312" w:hAnsi="楷体_GB2312" w:eastAsia="楷体_GB2312"/>
          <w:b w:val="0"/>
          <w:color w:val="000000"/>
          <w:sz w:val="32"/>
        </w:rPr>
        <w:t>（七）经营数据与市场地位</w:t>
      </w:r>
    </w:p>
    <w:p>
      <w:pPr>
        <w:spacing w:lineRule="exact" w:line="600" w:before="0" w:after="0"/>
        <w:ind w:firstLine="420"/>
        <w:jc w:val="both"/>
      </w:pPr>
      <w:r>
        <w:rPr>
          <w:rFonts w:ascii="仿宋_GB2312" w:hAnsi="仿宋_GB2312" w:eastAsia="仿宋_GB2312"/>
          <w:b w:val="0"/>
          <w:color w:val="000000"/>
          <w:sz w:val="32"/>
        </w:rPr>
        <w:t>公司经营数据未公开披露，本报告不作推测。从市场地位判断，公司并非集群报道中重点提及的龙头企业（集群龙头为山东耐材集团、八三石墨、大陆石墨、乐凡新材料等），而是属于集群中具备一定规模（注册资本5,000万元、双法人股东）的中小配套与综合服务企业，在矿物原料加工与生态环境材料细分方向上具备成长潜力。</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（一）财务数据披露情况说明</w:t>
      </w:r>
    </w:p>
    <w:p>
      <w:pPr>
        <w:spacing w:lineRule="exact" w:line="600" w:before="0" w:after="0"/>
        <w:ind w:firstLine="420"/>
        <w:jc w:val="both"/>
      </w:pPr>
      <w:r>
        <w:rPr>
          <w:rFonts w:ascii="仿宋_GB2312" w:hAnsi="仿宋_GB2312" w:eastAsia="仿宋_GB2312"/>
          <w:b w:val="0"/>
          <w:color w:val="000000"/>
          <w:sz w:val="32"/>
        </w:rPr>
        <w:t>公司为非上市有限责任公司，依法无需向社会公众披露财务报表。经检索公开渠道（含企业信用信息公示系统年报公示、第三方商业数据平台、新闻媒体报道等），未获取到公司的营业收入、净利润、总资产、负债、现金流等具体财务数据。据此，本报告明确标注：本企业财务数据未公开披露。本报告严格遵守数据真实性原则，不对上述财务指标作任何推测、估算或类比填充。</w:t>
      </w:r>
    </w:p>
    <w:p>
      <w:pPr>
        <w:spacing w:lineRule="exact" w:line="600" w:before="120" w:after="120"/>
        <w:ind w:firstLine="420"/>
        <w:jc w:val="left"/>
      </w:pPr>
      <w:r>
        <w:rPr>
          <w:rFonts w:ascii="楷体_GB2312" w:hAnsi="楷体_GB2312" w:eastAsia="楷体_GB2312"/>
          <w:b w:val="0"/>
          <w:color w:val="000000"/>
          <w:sz w:val="32"/>
        </w:rPr>
        <w:t>（二）可获取的间接财务信息</w:t>
      </w:r>
    </w:p>
    <w:p>
      <w:pPr>
        <w:spacing w:lineRule="exact" w:line="600" w:before="0" w:after="0"/>
        <w:ind w:firstLine="420"/>
        <w:jc w:val="both"/>
      </w:pPr>
      <w:r>
        <w:rPr>
          <w:rFonts w:ascii="仿宋_GB2312" w:hAnsi="仿宋_GB2312" w:eastAsia="仿宋_GB2312"/>
          <w:b w:val="0"/>
          <w:color w:val="000000"/>
          <w:sz w:val="32"/>
        </w:rPr>
        <w:t>通过工商登记信息可获取的与财务相关的间接信息有：一是注册资本5,000万元人民币（为认缴金额，实缴情况未公示，不能直接等同于企业实际资本实力）；二是企业由两家法人各持股50%，股东背景具备一定产业实力，但股东的实际出资到位情况未公示；三是公司申请有发明专利，表明具备一定的研发投入能力。</w:t>
      </w:r>
    </w:p>
    <w:p>
      <w:pPr>
        <w:spacing w:lineRule="exact" w:line="600" w:before="120" w:after="120"/>
        <w:ind w:firstLine="420"/>
        <w:jc w:val="left"/>
      </w:pPr>
      <w:r>
        <w:rPr>
          <w:rFonts w:ascii="楷体_GB2312" w:hAnsi="楷体_GB2312" w:eastAsia="楷体_GB2312"/>
          <w:b w:val="0"/>
          <w:color w:val="000000"/>
          <w:sz w:val="32"/>
        </w:rPr>
        <w:t>（三）财务尽职调查建议</w:t>
      </w:r>
    </w:p>
    <w:p>
      <w:pPr>
        <w:spacing w:lineRule="exact" w:line="600" w:before="0" w:after="0"/>
        <w:ind w:firstLine="420"/>
        <w:jc w:val="both"/>
      </w:pPr>
      <w:r>
        <w:rPr>
          <w:rFonts w:ascii="仿宋_GB2312" w:hAnsi="仿宋_GB2312" w:eastAsia="仿宋_GB2312"/>
          <w:b w:val="0"/>
          <w:color w:val="000000"/>
          <w:sz w:val="32"/>
        </w:rPr>
        <w:t>鉴于公开财务信息的缺失，建议金融机构在开展任何业务前，必须通过以下途径获取并交叉验证财务信息：一是取得企业近三年完整财务报表（资产负债表、利润表、现金流量表），并尽可能要求提供经审计版本；二是调取近两年增值税纳税申报表、企业所得税汇算清缴报告与开票数据；三是调取主要银行账户近12个月对账流水，核验实际经营现金流；四是核查近两年用电量、用气量数据，以能耗倒推实际产量；五是核查股东出资实缴情况与关联交易；六是通过企业信用信息公示系统、中国裁判文书网、被执行人信息系统核查行政处罚、司法诉讼、失信被执行等负面记录。</w:t>
      </w:r>
    </w:p>
    <w:p>
      <w:pPr>
        <w:spacing w:lineRule="exact" w:line="600" w:before="120" w:after="120"/>
        <w:ind w:firstLine="420"/>
        <w:jc w:val="left"/>
      </w:pPr>
      <w:r>
        <w:rPr>
          <w:rFonts w:ascii="楷体_GB2312" w:hAnsi="楷体_GB2312" w:eastAsia="楷体_GB2312"/>
          <w:b w:val="0"/>
          <w:color w:val="000000"/>
          <w:sz w:val="32"/>
        </w:rPr>
        <w:t>（四）财务风险的定性判断</w:t>
      </w:r>
    </w:p>
    <w:p>
      <w:pPr>
        <w:spacing w:lineRule="exact" w:line="600" w:before="0" w:after="0"/>
        <w:ind w:firstLine="420"/>
        <w:jc w:val="both"/>
      </w:pPr>
      <w:r>
        <w:rPr>
          <w:rFonts w:ascii="仿宋_GB2312" w:hAnsi="仿宋_GB2312" w:eastAsia="仿宋_GB2312"/>
          <w:b w:val="0"/>
          <w:color w:val="000000"/>
          <w:sz w:val="32"/>
        </w:rPr>
        <w:t>在缺乏具体数据的前提下，基于行业与企业类型的一般规律，可作出的定性判断是：此类矿物材料加工企业普遍存在"重资产、低周转、应收账款占比高、自有资本薄弱"的财务特征。上游原料（焦宝石等）采购与电费支出往往需要现款，而下游冶金、耐材客户账期长，形成营运资金的结构性缺口。此外，双法人股东的出资到位节奏、关联交易公允性也是需要重点核验的财务事项。</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有限责任公司（非自然人独资），由两家法人股东各持股50%，属于股权均等的合资结构。这种结构的特点是股东会层面形成二元制衡，重大事项需双方协商一致；但同时可能存在决策效率偏低、股东分歧时治理僵局的风险。法定代表人兼执行董事为邓永荣，监事为毕丽婷。</w:t>
      </w:r>
    </w:p>
    <w:p>
      <w:pPr>
        <w:spacing w:lineRule="exact" w:line="600" w:before="0" w:after="0"/>
        <w:ind w:firstLine="420"/>
        <w:jc w:val="both"/>
      </w:pPr>
      <w:r>
        <w:rPr>
          <w:rFonts w:ascii="仿宋_GB2312" w:hAnsi="仿宋_GB2312" w:eastAsia="仿宋_GB2312"/>
          <w:b w:val="0"/>
          <w:color w:val="000000"/>
          <w:sz w:val="32"/>
        </w:rPr>
        <w:t>相较于自然人独资企业，双法人股东结构在治理规范性与信用背书上相对更优，两家具备产业背景的股东可形成资源互补。但也须关注：股东均为法人且各占50%，若两股东经营理念或资金安排出现分歧，可能影响公司运营的稳定性；此外需防范股东与公司之间的资产、资金混同风险。</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公司公开显示为邓永荣任执行董事兼经理、毕丽婷任监事。不同平台对法定代表人存在邓永荣与王延晓两种口径，需以市场监管登记为准加以核实。公司未公开披露管理团队的具体构成、专业背景与从业经历，本报告不作推测。</w:t>
      </w:r>
    </w:p>
    <w:p>
      <w:pPr>
        <w:spacing w:lineRule="exact" w:line="600" w:before="0" w:after="0"/>
        <w:ind w:firstLine="420"/>
        <w:jc w:val="both"/>
      </w:pPr>
      <w:r>
        <w:rPr>
          <w:rFonts w:ascii="仿宋_GB2312" w:hAnsi="仿宋_GB2312" w:eastAsia="仿宋_GB2312"/>
          <w:b w:val="0"/>
          <w:color w:val="000000"/>
          <w:sz w:val="32"/>
        </w:rPr>
        <w:t>对于由产业股东控制的企业，股东方的产业资源（矿业原料、同业渠道）比个人管理者的经验更具决定性意义。建议在尽调中重点了解两家股东的经营状况、出资能力以及在公司业务中的实际赋能程度。</w:t>
      </w:r>
    </w:p>
    <w:p>
      <w:pPr>
        <w:spacing w:lineRule="exact" w:line="600" w:before="120" w:after="120"/>
        <w:ind w:firstLine="420"/>
        <w:jc w:val="left"/>
      </w:pPr>
      <w:r>
        <w:rPr>
          <w:rFonts w:ascii="楷体_GB2312" w:hAnsi="楷体_GB2312" w:eastAsia="楷体_GB2312"/>
          <w:b w:val="0"/>
          <w:color w:val="000000"/>
          <w:sz w:val="32"/>
        </w:rPr>
        <w:t>（三）组织与内部控制</w:t>
      </w:r>
    </w:p>
    <w:p>
      <w:pPr>
        <w:spacing w:lineRule="exact" w:line="600" w:before="0" w:after="0"/>
        <w:ind w:firstLine="420"/>
        <w:jc w:val="both"/>
      </w:pPr>
      <w:r>
        <w:rPr>
          <w:rFonts w:ascii="仿宋_GB2312" w:hAnsi="仿宋_GB2312" w:eastAsia="仿宋_GB2312"/>
          <w:b w:val="0"/>
          <w:color w:val="000000"/>
          <w:sz w:val="32"/>
        </w:rPr>
        <w:t>公司规模中等（注册资本5,000万元、双法人股东），相较纯小微企业应具备更规范的组织架构，但具体内部控制体系健全程度未公开披露。关键风险点在于：关联交易（向股东采购原料）的定价与审批是否规范、财务与出纳职责是否分离、合同与印章管理是否规范。</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公司未公开披露参保人数与人员规模。基于其注册资本与双法人股东背景，估计其用工规模应高于纯小微企业，但具体数字需通过实地走访与社保核查确认。用工规范性（社保缴纳、劳动合同）是后续尽调需厘清的合规事项之一。</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第一，上游原料与股东协同优势。股东"淄博苏李矿业"主营矿业，可为公司提供焦宝石、铝矾土等核心原料的稳定供应与成本协同，这是异地企业难以复制的纵向一体化优势。</w:t>
      </w:r>
    </w:p>
    <w:p>
      <w:pPr>
        <w:spacing w:lineRule="exact" w:line="600" w:before="0" w:after="0"/>
        <w:ind w:firstLine="420"/>
        <w:jc w:val="both"/>
      </w:pPr>
      <w:r>
        <w:rPr>
          <w:rFonts w:ascii="仿宋_GB2312" w:hAnsi="仿宋_GB2312" w:eastAsia="仿宋_GB2312"/>
          <w:b w:val="0"/>
          <w:color w:val="000000"/>
          <w:sz w:val="32"/>
        </w:rPr>
        <w:t>第二，区位与集群配套优势。公司注册经营于周村新材料产业聚集区，可就近获取原料、共享产业配套与技术人才，并享受省级矿物功能新材料特色产业集群的政策红利。</w:t>
      </w:r>
    </w:p>
    <w:p>
      <w:pPr>
        <w:spacing w:lineRule="exact" w:line="600" w:before="0" w:after="0"/>
        <w:ind w:firstLine="420"/>
        <w:jc w:val="both"/>
      </w:pPr>
      <w:r>
        <w:rPr>
          <w:rFonts w:ascii="仿宋_GB2312" w:hAnsi="仿宋_GB2312" w:eastAsia="仿宋_GB2312"/>
          <w:b w:val="0"/>
          <w:color w:val="000000"/>
          <w:sz w:val="32"/>
        </w:rPr>
        <w:t>第三，双法人股东的产业资源背书。两家具备产业背景的股东形成资源互补，在资金、技术、客户、渠道方面能提供超出单一自然人股东的赋能。</w:t>
      </w:r>
    </w:p>
    <w:p>
      <w:pPr>
        <w:spacing w:lineRule="exact" w:line="600" w:before="0" w:after="0"/>
        <w:ind w:firstLine="420"/>
        <w:jc w:val="both"/>
      </w:pPr>
      <w:r>
        <w:rPr>
          <w:rFonts w:ascii="仿宋_GB2312" w:hAnsi="仿宋_GB2312" w:eastAsia="仿宋_GB2312"/>
          <w:b w:val="0"/>
          <w:color w:val="000000"/>
          <w:sz w:val="32"/>
        </w:rPr>
        <w:t>第四，技术研发与绿色材料布局。公司申请有发明专利（CN112250332A），并在经营范围中包含"地聚物水泥"等绿色低碳生态环境材料，贴合"双碳"政策方向，具备向高附加值新材料升级的潜力。</w:t>
      </w:r>
    </w:p>
    <w:p>
      <w:pPr>
        <w:spacing w:lineRule="exact" w:line="600" w:before="0" w:after="0"/>
        <w:ind w:firstLine="420"/>
        <w:jc w:val="both"/>
      </w:pPr>
      <w:r>
        <w:rPr>
          <w:rFonts w:ascii="仿宋_GB2312" w:hAnsi="仿宋_GB2312" w:eastAsia="仿宋_GB2312"/>
          <w:b w:val="0"/>
          <w:color w:val="000000"/>
          <w:sz w:val="32"/>
        </w:rPr>
        <w:t>须客观指出公司护城河的薄弱之处：一是注册资本5,000万元系认缴，实缴与真实资本实力未知；二是未见其进入高新技术企业、专精特新企业等名录的公开信息，技术创新能力缺乏第三方认证支撑；三是产品仍以传统矿物材料加工为主，面临同质化竞争。综合判断，公司的竞争优势属于"资源协同型＋区位型"，护城河中等偏弱。</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（一）行业与政策风险</w:t>
      </w:r>
    </w:p>
    <w:p>
      <w:pPr>
        <w:spacing w:lineRule="exact" w:line="600" w:before="0" w:after="0"/>
        <w:ind w:firstLine="420"/>
        <w:jc w:val="both"/>
      </w:pPr>
      <w:r>
        <w:rPr>
          <w:rFonts w:ascii="仿宋_GB2312" w:hAnsi="仿宋_GB2312" w:eastAsia="仿宋_GB2312"/>
          <w:b w:val="0"/>
          <w:color w:val="000000"/>
          <w:sz w:val="32"/>
        </w:rPr>
        <w:t>一是下游钢铁、建材、有色行业周期风险。矿物功能新材料与耐火保温材料的下游主要为钢铁、冶金、建材、石化、电力等高耗能行业。上述行业受宏观投资、房地产周期与产能调控政策影响显著，需求波动会直接传导至上游材料企业的订单与价格。</w:t>
      </w:r>
    </w:p>
    <w:p>
      <w:pPr>
        <w:spacing w:lineRule="exact" w:line="600" w:before="0" w:after="0"/>
        <w:ind w:firstLine="420"/>
        <w:jc w:val="both"/>
      </w:pPr>
      <w:r>
        <w:rPr>
          <w:rFonts w:ascii="仿宋_GB2312" w:hAnsi="仿宋_GB2312" w:eastAsia="仿宋_GB2312"/>
          <w:b w:val="0"/>
          <w:color w:val="000000"/>
          <w:sz w:val="32"/>
        </w:rPr>
        <w:t>二是环保与"双碳"政策风险。矿物材料加工与耐材煅烧属于高能耗、易产生粉尘排放的工序，受环保督察、错峰生产、能耗双控等政策约束明显。小微企业因环保投入能力有限，在监管趋严时承压更为突出。</w:t>
      </w:r>
    </w:p>
    <w:p>
      <w:pPr>
        <w:spacing w:lineRule="exact" w:line="600" w:before="0" w:after="0"/>
        <w:ind w:firstLine="420"/>
        <w:jc w:val="both"/>
      </w:pPr>
      <w:r>
        <w:rPr>
          <w:rFonts w:ascii="仿宋_GB2312" w:hAnsi="仿宋_GB2312" w:eastAsia="仿宋_GB2312"/>
          <w:b w:val="0"/>
          <w:color w:val="000000"/>
          <w:sz w:val="32"/>
        </w:rPr>
        <w:t>三是资源与产业布局政策风险。焦宝石等矿产资源的开采受严格管控，园区化、集约化是明确的政策方向。未入驻规划园区、或不符合"亩产效益"评价要求的企业，可能面临搬迁、限产乃至退出的压力。</w:t>
      </w:r>
    </w:p>
    <w:p>
      <w:pPr>
        <w:spacing w:lineRule="exact" w:line="600" w:before="120" w:after="120"/>
        <w:ind w:firstLine="420"/>
        <w:jc w:val="left"/>
      </w:pPr>
      <w:r>
        <w:rPr>
          <w:rFonts w:ascii="楷体_GB2312" w:hAnsi="楷体_GB2312" w:eastAsia="楷体_GB2312"/>
          <w:b w:val="0"/>
          <w:color w:val="000000"/>
          <w:sz w:val="32"/>
        </w:rPr>
        <w:t>（二）经营风险</w:t>
      </w:r>
    </w:p>
    <w:p>
      <w:pPr>
        <w:spacing w:lineRule="exact" w:line="600" w:before="0" w:after="0"/>
        <w:ind w:firstLine="420"/>
        <w:jc w:val="both"/>
      </w:pPr>
      <w:r>
        <w:rPr>
          <w:rFonts w:ascii="仿宋_GB2312" w:hAnsi="仿宋_GB2312" w:eastAsia="仿宋_GB2312"/>
          <w:b w:val="0"/>
          <w:color w:val="000000"/>
          <w:sz w:val="32"/>
        </w:rPr>
        <w:t>一是规模弱小带来的抗风险能力不足。企业注册资本与人员规模有限，在原材料价格上涨、下游账期拉长或订单波动时，缺乏足够的财务缓冲。</w:t>
      </w:r>
    </w:p>
    <w:p>
      <w:pPr>
        <w:spacing w:lineRule="exact" w:line="600" w:before="0" w:after="0"/>
        <w:ind w:firstLine="420"/>
        <w:jc w:val="both"/>
      </w:pPr>
      <w:r>
        <w:rPr>
          <w:rFonts w:ascii="仿宋_GB2312" w:hAnsi="仿宋_GB2312" w:eastAsia="仿宋_GB2312"/>
          <w:b w:val="0"/>
          <w:color w:val="000000"/>
          <w:sz w:val="32"/>
        </w:rPr>
        <w:t>二是同质化竞争风险。周村王村镇聚集了大量耐材与矿物材料企业，低端产品同质化竞争激烈，价格战风险较高。</w:t>
      </w:r>
    </w:p>
    <w:p>
      <w:pPr>
        <w:spacing w:lineRule="exact" w:line="600" w:before="0" w:after="0"/>
        <w:ind w:firstLine="420"/>
        <w:jc w:val="both"/>
      </w:pPr>
      <w:r>
        <w:rPr>
          <w:rFonts w:ascii="仿宋_GB2312" w:hAnsi="仿宋_GB2312" w:eastAsia="仿宋_GB2312"/>
          <w:b w:val="0"/>
          <w:color w:val="000000"/>
          <w:sz w:val="32"/>
        </w:rPr>
        <w:t>三是客户与应收账款风险。下游钢铁、冶金企业普遍强势，账期长、议价能力强，小微供应商往往被动接受不利结算条件。</w:t>
      </w:r>
    </w:p>
    <w:p>
      <w:pPr>
        <w:spacing w:lineRule="exact" w:line="600" w:before="120" w:after="120"/>
        <w:ind w:firstLine="420"/>
        <w:jc w:val="left"/>
      </w:pPr>
      <w:r>
        <w:rPr>
          <w:rFonts w:ascii="楷体_GB2312" w:hAnsi="楷体_GB2312" w:eastAsia="楷体_GB2312"/>
          <w:b w:val="0"/>
          <w:color w:val="000000"/>
          <w:sz w:val="32"/>
        </w:rPr>
        <w:t>（三）财务风险</w:t>
      </w:r>
    </w:p>
    <w:p>
      <w:pPr>
        <w:spacing w:lineRule="exact" w:line="600" w:before="0" w:after="0"/>
        <w:ind w:firstLine="420"/>
        <w:jc w:val="both"/>
      </w:pPr>
      <w:r>
        <w:rPr>
          <w:rFonts w:ascii="仿宋_GB2312" w:hAnsi="仿宋_GB2312" w:eastAsia="仿宋_GB2312"/>
          <w:b w:val="0"/>
          <w:color w:val="000000"/>
          <w:sz w:val="32"/>
        </w:rPr>
        <w:t>企业财务数据未公开披露，无法进行量化的财务风险评估。基于同类小微制造企业的一般特征，可提示的潜在风险包括：自有资本薄弱、对短期借款依赖度可能较高、应收账款与存货占用营运资金比例大、缺乏规范的财务管理体系与经审计财务报表。金融机构在开展业务前，须通过实地尽调获取企业真实的财务报表、银行流水、纳税申报与用电用气数据进行交叉验证。</w:t>
      </w:r>
    </w:p>
    <w:p>
      <w:pPr>
        <w:spacing w:lineRule="exact" w:line="600" w:before="120" w:after="120"/>
        <w:ind w:firstLine="420"/>
        <w:jc w:val="left"/>
      </w:pPr>
      <w:r>
        <w:rPr>
          <w:rFonts w:ascii="楷体_GB2312" w:hAnsi="楷体_GB2312" w:eastAsia="楷体_GB2312"/>
          <w:b w:val="0"/>
          <w:color w:val="000000"/>
          <w:sz w:val="32"/>
        </w:rPr>
        <w:t>（四）合规与管理风险</w:t>
      </w:r>
    </w:p>
    <w:p>
      <w:pPr>
        <w:spacing w:lineRule="exact" w:line="600" w:before="0" w:after="0"/>
        <w:ind w:firstLine="420"/>
        <w:jc w:val="both"/>
      </w:pPr>
      <w:r>
        <w:rPr>
          <w:rFonts w:ascii="仿宋_GB2312" w:hAnsi="仿宋_GB2312" w:eastAsia="仿宋_GB2312"/>
          <w:b w:val="0"/>
          <w:color w:val="000000"/>
          <w:sz w:val="32"/>
        </w:rPr>
        <w:t>一是安全生产风险。窑炉高温作业、粉尘环境、机械加工均存在安全隐患。二是治理结构风险。企业为自然人独资或法人控股形式，所有权与经营权高度集中，缺乏外部制衡。三是信息透明度风险。企业未公开披露财务与经营数据，外部机构难以获取充分信息，尽职调查成本较高。</w:t>
      </w:r>
    </w:p>
    <w:p>
      <w:pPr>
        <w:spacing w:lineRule="exact" w:line="600" w:before="120" w:after="120"/>
        <w:ind w:firstLine="420"/>
        <w:jc w:val="left"/>
      </w:pPr>
      <w:r>
        <w:rPr>
          <w:rFonts w:ascii="楷体_GB2312" w:hAnsi="楷体_GB2312" w:eastAsia="楷体_GB2312"/>
          <w:b w:val="0"/>
          <w:color w:val="000000"/>
          <w:sz w:val="32"/>
        </w:rPr>
        <w:t>（五）本企业特有风险提示</w:t>
      </w:r>
    </w:p>
    <w:p>
      <w:pPr>
        <w:spacing w:lineRule="exact" w:line="600" w:before="0" w:after="0"/>
        <w:ind w:firstLine="420"/>
        <w:jc w:val="both"/>
      </w:pPr>
      <w:r>
        <w:rPr>
          <w:rFonts w:ascii="仿宋_GB2312" w:hAnsi="仿宋_GB2312" w:eastAsia="仿宋_GB2312"/>
          <w:b w:val="0"/>
          <w:color w:val="000000"/>
          <w:sz w:val="32"/>
        </w:rPr>
        <w:t>一是注册资本口径与实缴风险。多个公开平台对注册资本（5,000万与1,000万）、法定代表人（邓永荣与王延晓）存在不一致记载，在核实清楚之前，不应将任何单一平台信息作为授信依据；且5,000万元为认缴，须核查实缴到位情况。</w:t>
      </w:r>
    </w:p>
    <w:p>
      <w:pPr>
        <w:spacing w:lineRule="exact" w:line="600" w:before="0" w:after="0"/>
        <w:ind w:firstLine="420"/>
        <w:jc w:val="both"/>
      </w:pPr>
      <w:r>
        <w:rPr>
          <w:rFonts w:ascii="仿宋_GB2312" w:hAnsi="仿宋_GB2312" w:eastAsia="仿宋_GB2312"/>
          <w:b w:val="0"/>
          <w:color w:val="000000"/>
          <w:sz w:val="32"/>
        </w:rPr>
        <w:t>二是关联交易风险。公司向股东"淄博苏李矿业"采购矿物原料的关联交易，需关注定价公允性与资金占用风险，防范通过关联交易转移利润或抽逃资金。</w:t>
      </w:r>
    </w:p>
    <w:p>
      <w:pPr>
        <w:spacing w:lineRule="exact" w:line="600" w:before="0" w:after="0"/>
        <w:ind w:firstLine="420"/>
        <w:jc w:val="both"/>
      </w:pPr>
      <w:r>
        <w:rPr>
          <w:rFonts w:ascii="仿宋_GB2312" w:hAnsi="仿宋_GB2312" w:eastAsia="仿宋_GB2312"/>
          <w:b w:val="0"/>
          <w:color w:val="000000"/>
          <w:sz w:val="32"/>
        </w:rPr>
        <w:t>三是股东分歧风险。两法人各持股50%的均势结构，在股东经营理念或资金安排出现分歧时，可能导致治理僵局，影响公司持续经营。</w:t>
      </w:r>
    </w:p>
    <w:p>
      <w:pPr>
        <w:spacing w:lineRule="exact" w:line="600" w:before="120" w:after="120"/>
        <w:ind w:firstLine="420"/>
        <w:jc w:val="left"/>
      </w:pPr>
      <w:r>
        <w:rPr>
          <w:rFonts w:ascii="黑体" w:hAnsi="黑体" w:eastAsia="黑体"/>
          <w:b w:val="0"/>
          <w:color w:val="000000"/>
          <w:sz w:val="32"/>
        </w:rPr>
        <w:t>七、融资需求分析（与山东投资协同）</w:t>
      </w:r>
    </w:p>
    <w:p>
      <w:pPr>
        <w:spacing w:lineRule="exact" w:line="600" w:before="120" w:after="120"/>
        <w:ind w:firstLine="420"/>
        <w:jc w:val="left"/>
      </w:pPr>
      <w:r>
        <w:rPr>
          <w:rFonts w:ascii="楷体_GB2312" w:hAnsi="楷体_GB2312" w:eastAsia="楷体_GB2312"/>
          <w:b w:val="0"/>
          <w:color w:val="000000"/>
          <w:sz w:val="32"/>
        </w:rPr>
        <w:t>（一）总体判断</w:t>
      </w:r>
    </w:p>
    <w:p>
      <w:pPr>
        <w:spacing w:lineRule="exact" w:line="600" w:before="0" w:after="0"/>
        <w:ind w:firstLine="420"/>
        <w:jc w:val="both"/>
      </w:pPr>
      <w:r>
        <w:rPr>
          <w:rFonts w:ascii="仿宋_GB2312" w:hAnsi="仿宋_GB2312" w:eastAsia="仿宋_GB2312"/>
          <w:b w:val="0"/>
          <w:color w:val="000000"/>
          <w:sz w:val="32"/>
        </w:rPr>
        <w:t>山东和光新材料有限公司为非上市小微企业，财务数据未公开披露，无法基于公开信息判断其具体的资金缺口规模与偿债能力。基于其行业属性（矿物功能新材料）与企业规模，可作出的定性判断是：此类企业的融资需求通常具有"额度小、频次高、期限短、与订单和采购周期强相关"的特征，主要用于原材料采购备货、应收账款账期垫资与设备技改投入。开展任何实质性业务前，必须完成实地尽职调查，获取经审计或经核验的财务报表、纳税与开票数据、银行流水、用电用气记录及主要购销合同。</w:t>
      </w:r>
    </w:p>
    <w:p>
      <w:pPr>
        <w:spacing w:lineRule="exact" w:line="600" w:before="120" w:after="120"/>
        <w:ind w:firstLine="420"/>
        <w:jc w:val="left"/>
      </w:pPr>
      <w:r>
        <w:rPr>
          <w:rFonts w:ascii="楷体_GB2312" w:hAnsi="楷体_GB2312" w:eastAsia="楷体_GB2312"/>
          <w:b w:val="0"/>
          <w:color w:val="000000"/>
          <w:sz w:val="32"/>
        </w:rPr>
        <w:t>（二）保理业务切入建议</w:t>
      </w:r>
    </w:p>
    <w:p>
      <w:pPr>
        <w:spacing w:lineRule="exact" w:line="600" w:before="0" w:after="0"/>
        <w:ind w:firstLine="420"/>
        <w:jc w:val="both"/>
      </w:pPr>
      <w:r>
        <w:rPr>
          <w:rFonts w:ascii="仿宋_GB2312" w:hAnsi="仿宋_GB2312" w:eastAsia="仿宋_GB2312"/>
          <w:b w:val="0"/>
          <w:color w:val="000000"/>
          <w:sz w:val="32"/>
        </w:rPr>
        <w:t>若企业下游客户为钢铁、冶金、建材等行业的规模以上企业或上市公司，其应收账款具备开展保理业务的基础。建议采取"有追索权保理"模式，严格执行应收账款确权程序（要求债务人书面确认应收账款真实性、金额与付款期限），并将融资比例控制在应收账款金额的适度水平。优先选择债务人为大型国有钢铁企业或上市公司的应收账款作为基础资产，此类资产的回款确定性最高。同时应通过发票、出库单、验收单等贸易单据核验交易真实性，防范虚构应收账款风险。</w:t>
      </w:r>
    </w:p>
    <w:p>
      <w:pPr>
        <w:spacing w:lineRule="exact" w:line="600" w:before="120" w:after="120"/>
        <w:ind w:firstLine="420"/>
        <w:jc w:val="left"/>
      </w:pPr>
      <w:r>
        <w:rPr>
          <w:rFonts w:ascii="楷体_GB2312" w:hAnsi="楷体_GB2312" w:eastAsia="楷体_GB2312"/>
          <w:b w:val="0"/>
          <w:color w:val="000000"/>
          <w:sz w:val="32"/>
        </w:rPr>
        <w:t>（三）供应链金融切入建议</w:t>
      </w:r>
    </w:p>
    <w:p>
      <w:pPr>
        <w:spacing w:lineRule="exact" w:line="600" w:before="0" w:after="0"/>
        <w:ind w:firstLine="420"/>
        <w:jc w:val="both"/>
      </w:pPr>
      <w:r>
        <w:rPr>
          <w:rFonts w:ascii="仿宋_GB2312" w:hAnsi="仿宋_GB2312" w:eastAsia="仿宋_GB2312"/>
          <w:b w:val="0"/>
          <w:color w:val="000000"/>
          <w:sz w:val="32"/>
        </w:rPr>
        <w:t>这是服务此类小微企业最具可行性的路径。公司上游为本地焦宝石、铝矾土矿业（含股东苏李矿业），下游为钢铁、冶金、建材、铸造等行业的耐材与原料需求方，处于产业链中游。建议山东投资以周村新材料产业聚集区内的龙头企业（如山东耐材集团、八三石墨、大陆石墨等）以及下游大型钢铁冶金企业为核心企业，搭建供应链金融平台，将本企业作为核心企业上游供应商或下游经销商纳入服务范围。通过核心企业的信用穿透与交易数据确权，可在不依赖小微企业自身信用的前提下实现低风险融资投放。</w:t>
      </w:r>
    </w:p>
    <w:p>
      <w:pPr>
        <w:spacing w:lineRule="exact" w:line="600" w:before="120" w:after="120"/>
        <w:ind w:firstLine="420"/>
        <w:jc w:val="left"/>
      </w:pPr>
      <w:r>
        <w:rPr>
          <w:rFonts w:ascii="楷体_GB2312" w:hAnsi="楷体_GB2312" w:eastAsia="楷体_GB2312"/>
          <w:b w:val="0"/>
          <w:color w:val="000000"/>
          <w:sz w:val="32"/>
        </w:rPr>
        <w:t>（四）融资租赁切入建议</w:t>
      </w:r>
    </w:p>
    <w:p>
      <w:pPr>
        <w:spacing w:lineRule="exact" w:line="600" w:before="0" w:after="0"/>
        <w:ind w:firstLine="420"/>
        <w:jc w:val="both"/>
      </w:pPr>
      <w:r>
        <w:rPr>
          <w:rFonts w:ascii="仿宋_GB2312" w:hAnsi="仿宋_GB2312" w:eastAsia="仿宋_GB2312"/>
          <w:b w:val="0"/>
          <w:color w:val="000000"/>
          <w:sz w:val="32"/>
        </w:rPr>
        <w:t>矿物功能新材料生产属于设备密集型行业，涉及窑炉、熔炼设备、压制成型机、破碎研磨设备、除尘环保装置等，设备价值明确、通用性较好、二手市场存在，具备开展融资租赁的物权基础。建议采用"直接租赁"支持企业的设备更新与技改升级——这与周村区推动耐材产业向高质高端、绿色低碳转型的政策方向高度契合。对已有成套设备的企业，可考虑"售后回租"盘活存量资产，但须严格评估设备权属清晰性、是否已设定其他担保物权，并办理必要的登记手续。租期建议控制在3年以内，租金支付节奏匹配企业经营现金流。</w:t>
      </w:r>
    </w:p>
    <w:p>
      <w:pPr>
        <w:spacing w:lineRule="exact" w:line="600" w:before="120" w:after="120"/>
        <w:ind w:firstLine="420"/>
        <w:jc w:val="left"/>
      </w:pPr>
      <w:r>
        <w:rPr>
          <w:rFonts w:ascii="楷体_GB2312" w:hAnsi="楷体_GB2312" w:eastAsia="楷体_GB2312"/>
          <w:b w:val="0"/>
          <w:color w:val="000000"/>
          <w:sz w:val="32"/>
        </w:rPr>
        <w:t>（五）小额贷款业务切入建议</w:t>
      </w:r>
    </w:p>
    <w:p>
      <w:pPr>
        <w:spacing w:lineRule="exact" w:line="600" w:before="0" w:after="0"/>
        <w:ind w:firstLine="420"/>
        <w:jc w:val="both"/>
      </w:pPr>
      <w:r>
        <w:rPr>
          <w:rFonts w:ascii="仿宋_GB2312" w:hAnsi="仿宋_GB2312" w:eastAsia="仿宋_GB2312"/>
          <w:b w:val="0"/>
          <w:color w:val="000000"/>
          <w:sz w:val="32"/>
        </w:rPr>
        <w:t>小额贷款是与此类企业规模最为匹配的产品形态。建议设计"小额、短期、高频、数据驱动"的产品：一是额度控制在与企业年销售规模、纳税额相匹配的合理区间；二是期限以6—12个月为主，匹配其原料采购与货款回笼周期；三是风控上重点采用"税务数据＋发票数据＋用电用气数据＋银行流水＋实际控制人征信"的多维交叉验证，弥补财务报表缺失的信息劣势；四是要求实际控制人及其配偶提供连带责任保证担保；五是可探索与周村区政府性融资担保机构合作，通过"银政担"模式分散风险。</w:t>
      </w:r>
    </w:p>
    <w:p>
      <w:pPr>
        <w:spacing w:lineRule="exact" w:line="600" w:before="120" w:after="120"/>
        <w:ind w:firstLine="420"/>
        <w:jc w:val="left"/>
      </w:pPr>
      <w:r>
        <w:rPr>
          <w:rFonts w:ascii="楷体_GB2312" w:hAnsi="楷体_GB2312" w:eastAsia="楷体_GB2312"/>
          <w:b w:val="0"/>
          <w:color w:val="000000"/>
          <w:sz w:val="32"/>
        </w:rPr>
        <w:t>（六）综合协同建议</w:t>
      </w:r>
    </w:p>
    <w:p>
      <w:pPr>
        <w:spacing w:lineRule="exact" w:line="600" w:before="0" w:after="0"/>
        <w:ind w:firstLine="420"/>
        <w:jc w:val="both"/>
      </w:pPr>
      <w:r>
        <w:rPr>
          <w:rFonts w:ascii="仿宋_GB2312" w:hAnsi="仿宋_GB2312" w:eastAsia="仿宋_GB2312"/>
          <w:b w:val="0"/>
          <w:color w:val="000000"/>
          <w:sz w:val="32"/>
        </w:rPr>
        <w:t>建议山东投资对本企业采取"审慎准入、小额试水、数据积累、逐步加码"的策略。第一阶段以小额贷款或核心企业确权下的供应链融资切入，额度控制在低风险敞口范围内，通过实际业务积累企业的真实经营数据；第二阶段在验证其经营稳定性与还款意愿后，逐步引入融资租赁支持其设备升级；第三阶段视其成长为高新技术企业、专精特新企业的情况，考虑更深层次的合作。同时建议将服务视野从单一企业扩展到整个周村新材料产业聚集区，以"集群批量授信＋核心企业增信＋政府性担保"的组合模式，实现规模化、标准化的普惠金融服务。</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山东和光新材料有限公司是一家成立于2018年底、注册资本5,000万元、由两家产业法人股东各持股50%的矿物功能新材料企业，注册经营于周村新材料产业聚集区，主营焦宝石、高铝土等矿物原料加工、耐火材料制品及地聚物水泥等生态环境材料。公司股东具备矿业与同业新材料产业背景，形成上游原料协同，并申请有发明专利，在集群内属于具备一定规模与成长潜力的中小企业。</w:t>
      </w:r>
    </w:p>
    <w:p>
      <w:pPr>
        <w:spacing w:lineRule="exact" w:line="600" w:before="0" w:after="0"/>
        <w:ind w:firstLine="420"/>
        <w:jc w:val="both"/>
      </w:pPr>
      <w:r>
        <w:rPr>
          <w:rFonts w:ascii="仿宋_GB2312" w:hAnsi="仿宋_GB2312" w:eastAsia="仿宋_GB2312"/>
          <w:b w:val="0"/>
          <w:color w:val="000000"/>
          <w:sz w:val="32"/>
        </w:rPr>
        <w:t>公司的突出问题在于信息透明度待提升：财务数据未公开披露；注册资本与法定代表人口径在公开平台存在不一致；实缴出资情况未知。这三点使得基于公开信息的信用评估无法得出可靠结论，须以实地尽调为准。</w:t>
      </w:r>
    </w:p>
    <w:p>
      <w:pPr>
        <w:spacing w:lineRule="exact" w:line="600" w:before="0" w:after="0"/>
        <w:ind w:firstLine="420"/>
        <w:jc w:val="both"/>
      </w:pPr>
      <w:r>
        <w:rPr>
          <w:rFonts w:ascii="仿宋_GB2312" w:hAnsi="仿宋_GB2312" w:eastAsia="仿宋_GB2312"/>
          <w:b w:val="0"/>
          <w:color w:val="000000"/>
          <w:sz w:val="32"/>
        </w:rPr>
        <w:t>总体评价：公司属于"具备产业协同基础但信息尚待核实的中小企业"，在完成充分的实地尽职调查之前，不具备开展实质性授信业务的条件。其潜在价值在于上游资源协同与绿色低碳材料（地聚物水泥）布局，且所在集群获得省级、国家级平台认定，产业环境良好。</w:t>
      </w:r>
    </w:p>
    <w:p>
      <w:pPr>
        <w:spacing w:lineRule="exact" w:line="600" w:before="120" w:after="120"/>
        <w:ind w:firstLine="420"/>
        <w:jc w:val="left"/>
      </w:pPr>
      <w:r>
        <w:rPr>
          <w:rFonts w:ascii="楷体_GB2312" w:hAnsi="楷体_GB2312" w:eastAsia="楷体_GB2312"/>
          <w:b w:val="0"/>
          <w:color w:val="000000"/>
          <w:sz w:val="32"/>
        </w:rPr>
        <w:t>（二）未来发展展望</w:t>
      </w:r>
    </w:p>
    <w:p>
      <w:pPr>
        <w:spacing w:lineRule="exact" w:line="600" w:before="0" w:after="0"/>
        <w:ind w:firstLine="420"/>
        <w:jc w:val="both"/>
      </w:pPr>
      <w:r>
        <w:rPr>
          <w:rFonts w:ascii="仿宋_GB2312" w:hAnsi="仿宋_GB2312" w:eastAsia="仿宋_GB2312"/>
          <w:b w:val="0"/>
          <w:color w:val="000000"/>
          <w:sz w:val="32"/>
        </w:rPr>
        <w:t>据周村区公开的产业规划，王村镇近期目标为"百亿级高温新材料产业链初步形成"。园区确立了"1+3+N"发展战略，重点发展铝硅系耐火材料、无机非金属新材料、高纯氧化物特种陶瓷制品、冶金功能材料等方向。这为公司提供了明确的产业升级路径与政策支持环境。</w:t>
      </w:r>
    </w:p>
    <w:p>
      <w:pPr>
        <w:spacing w:lineRule="exact" w:line="600" w:before="0" w:after="0"/>
        <w:ind w:firstLine="420"/>
        <w:jc w:val="both"/>
      </w:pPr>
      <w:r>
        <w:rPr>
          <w:rFonts w:ascii="仿宋_GB2312" w:hAnsi="仿宋_GB2312" w:eastAsia="仿宋_GB2312"/>
          <w:b w:val="0"/>
          <w:color w:val="000000"/>
          <w:sz w:val="32"/>
        </w:rPr>
        <w:t>对公司而言，可能的发展方向包括：依托股东矿业资源做深矿物功能材料加工；扩大地聚物水泥等绿色低碳生态环境材料的产能与市场；通过研发提升产品附加值，争取高新技术企业、专精特新等资质。以上属基于公开产业信息的方向性判断，本报告不对公司具体经营成果作预测。</w:t>
      </w:r>
    </w:p>
    <w:p>
      <w:pPr>
        <w:spacing w:lineRule="exact" w:line="600" w:before="120" w:after="120"/>
        <w:ind w:firstLine="420"/>
        <w:jc w:val="left"/>
      </w:pPr>
      <w:r>
        <w:rPr>
          <w:rFonts w:ascii="楷体_GB2312" w:hAnsi="楷体_GB2312" w:eastAsia="楷体_GB2312"/>
          <w:b w:val="0"/>
          <w:color w:val="000000"/>
          <w:sz w:val="32"/>
        </w:rPr>
        <w:t>（三）面临的挑战</w:t>
      </w:r>
    </w:p>
    <w:p>
      <w:pPr>
        <w:spacing w:lineRule="exact" w:line="600" w:before="0" w:after="0"/>
        <w:ind w:firstLine="420"/>
        <w:jc w:val="both"/>
      </w:pPr>
      <w:r>
        <w:rPr>
          <w:rFonts w:ascii="仿宋_GB2312" w:hAnsi="仿宋_GB2312" w:eastAsia="仿宋_GB2312"/>
          <w:b w:val="0"/>
          <w:color w:val="000000"/>
          <w:sz w:val="32"/>
        </w:rPr>
        <w:t>一是规模与资本实缴挑战。认缴5,000万元若实缴不足，将削弱其资本实力与抗风险能力。二是转型升级的资金压力。向高端产品与绿色低碳材料转型需要持续的设备与研发投入。三是环保与合规的持续压力。周村区对耐材行业的整治是长期政策，不达标企业将被淘汰。四是规范化经营的挑战，包括财务规范、关联交易规范与信息披露规范。</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结论：公司具备一定的产业协同与区位优势，但信息透明度不足、关键口径存在矛盾、实缴情况未知，当前不具备直接授信条件，需以实地尽职调查结论为准。</w:t>
      </w:r>
    </w:p>
    <w:p>
      <w:pPr>
        <w:spacing w:lineRule="exact" w:line="600" w:before="0" w:after="0"/>
        <w:ind w:firstLine="420"/>
        <w:jc w:val="both"/>
      </w:pPr>
      <w:r>
        <w:rPr>
          <w:rFonts w:ascii="仿宋_GB2312" w:hAnsi="仿宋_GB2312" w:eastAsia="仿宋_GB2312"/>
          <w:b w:val="0"/>
          <w:color w:val="000000"/>
          <w:sz w:val="32"/>
        </w:rPr>
        <w:t>对企业的建议：一是规范财务核算并考虑聘请会计师事务所审计；二是统一并核实对外披露的企业信息，消除注册资本与法定代表人的平台口径冲突；三是规范关联交易定价与披露；四是积极申报高新技术企业、科技型中小企业、专精特新等资质，为融资增信。</w:t>
      </w:r>
    </w:p>
    <w:p>
      <w:pPr>
        <w:spacing w:lineRule="exact" w:line="600" w:before="0" w:after="0"/>
        <w:ind w:firstLine="420"/>
        <w:jc w:val="both"/>
      </w:pPr>
      <w:r>
        <w:rPr>
          <w:rFonts w:ascii="仿宋_GB2312" w:hAnsi="仿宋_GB2312" w:eastAsia="仿宋_GB2312"/>
          <w:b w:val="0"/>
          <w:color w:val="000000"/>
          <w:sz w:val="32"/>
        </w:rPr>
        <w:t>对山东投资的建议：一是暂不将本企业列入主动营销名单，如企业主动申请，则以实地尽调为前置条件；二是尽调核心聚焦"三查"——查股东实缴出资与关联关系、查用电用气数据倒推产能、查税务与银行流水验证收入；三是若尽调结论正面，建议以小额贷款或供应链融资切入，并要求股东方提供相应增信；四是更优的服务路径是将其纳入以周村园区龙头企业为核心的供应链金融体系。</w:t>
      </w:r>
    </w:p>
    <w:p>
      <w:pPr>
        <w:spacing w:lineRule="exact" w:line="600" w:before="120" w:after="120"/>
        <w:ind w:firstLine="420"/>
        <w:jc w:val="left"/>
      </w:pPr>
      <w:r>
        <w:rPr>
          <w:rFonts w:ascii="黑体" w:hAnsi="黑体" w:eastAsia="黑体"/>
          <w:b w:val="0"/>
          <w:color w:val="000000"/>
          <w:sz w:val="32"/>
        </w:rPr>
        <w:t>九、集群背景补充</w:t>
      </w:r>
    </w:p>
    <w:p>
      <w:pPr>
        <w:spacing w:lineRule="exact" w:line="600" w:before="120" w:after="120"/>
        <w:ind w:firstLine="420"/>
        <w:jc w:val="left"/>
      </w:pPr>
      <w:r>
        <w:rPr>
          <w:rFonts w:ascii="楷体_GB2312" w:hAnsi="楷体_GB2312" w:eastAsia="楷体_GB2312"/>
          <w:b w:val="0"/>
          <w:color w:val="000000"/>
          <w:sz w:val="32"/>
        </w:rPr>
        <w:t>（一）集群基本情况</w:t>
      </w:r>
    </w:p>
    <w:p>
      <w:pPr>
        <w:spacing w:lineRule="exact" w:line="600" w:before="0" w:after="0"/>
        <w:ind w:firstLine="420"/>
        <w:jc w:val="both"/>
      </w:pPr>
      <w:r>
        <w:rPr>
          <w:rFonts w:ascii="仿宋_GB2312" w:hAnsi="仿宋_GB2312" w:eastAsia="仿宋_GB2312"/>
          <w:b w:val="0"/>
          <w:color w:val="000000"/>
          <w:sz w:val="32"/>
        </w:rPr>
        <w:t>"山东淄博周村区(矿物功能新材料)特色产业集群"的核心载体为周村新材料产业聚集区。据周村区人民政府公开文件，2017年6月9日，淄博市委、市政府决定在周村区、淄川区、博山区分别高标准规划建设三个新型耐火材料产业创新示范园区，并结合王村镇被列为省级焦宝石特色小镇的契机，在王村镇设立周村新材料产业聚集区。园区四至范围为北至泉王路、南至胶王路、西至宝山路、东至张古村东侧南北线，规划面积3,560亩。</w:t>
      </w:r>
    </w:p>
    <w:p>
      <w:pPr>
        <w:spacing w:lineRule="exact" w:line="600" w:before="0" w:after="0"/>
        <w:ind w:firstLine="420"/>
        <w:jc w:val="both"/>
      </w:pPr>
      <w:r>
        <w:rPr>
          <w:rFonts w:ascii="仿宋_GB2312" w:hAnsi="仿宋_GB2312" w:eastAsia="仿宋_GB2312"/>
          <w:b w:val="0"/>
          <w:color w:val="000000"/>
          <w:sz w:val="32"/>
        </w:rPr>
        <w:t>园区产业定位为：重点发展铝硅系耐火材料、无机非金属新材料、高纯氧化物特种陶瓷制品、冶金功能材料、功能陶瓷、纯净钢用高级耐火材料、先进机械装备制造等产业。园区先后被认定为中国建材联合会无机非新材料产业示范基地、山东省高温新材料特色产业集群、山东省矿物功能新材料特色产业集群，确立了"1+3+N"发展战略，着力打造无机非金属、装配式建筑、复合新材料三个产业链板块。</w:t>
      </w:r>
    </w:p>
    <w:p>
      <w:pPr>
        <w:spacing w:lineRule="exact" w:line="600" w:before="120" w:after="120"/>
        <w:ind w:firstLine="420"/>
        <w:jc w:val="left"/>
      </w:pPr>
      <w:r>
        <w:rPr>
          <w:rFonts w:ascii="楷体_GB2312" w:hAnsi="楷体_GB2312" w:eastAsia="楷体_GB2312"/>
          <w:b w:val="0"/>
          <w:color w:val="000000"/>
          <w:sz w:val="32"/>
        </w:rPr>
        <w:t>（二）集群产业基础与发展态势</w:t>
      </w:r>
    </w:p>
    <w:p>
      <w:pPr>
        <w:spacing w:lineRule="exact" w:line="600" w:before="0" w:after="0"/>
        <w:ind w:firstLine="420"/>
        <w:jc w:val="both"/>
      </w:pPr>
      <w:r>
        <w:rPr>
          <w:rFonts w:ascii="仿宋_GB2312" w:hAnsi="仿宋_GB2312" w:eastAsia="仿宋_GB2312"/>
          <w:b w:val="0"/>
          <w:color w:val="000000"/>
          <w:sz w:val="32"/>
        </w:rPr>
        <w:t>王村镇是周村区的传统工业重镇，因焦宝石矿产资源丰富，成为全国重要的焦宝石与耐材产业基地。目前王村镇已构建起集矿石开采、焦宝石煅烧、耐材制造于一体的绿色低碳耐材产业链，在全镇工业经济中占比接近80%。创新资源方面，王村镇拥有新三板挂牌企业1家、高新技术企业7家、市级工程实验室企业6家、市级企业技术中心5家、省级企业技术中心2家。</w:t>
      </w:r>
    </w:p>
    <w:p>
      <w:pPr>
        <w:spacing w:lineRule="exact" w:line="600" w:before="0" w:after="0"/>
        <w:ind w:firstLine="420"/>
        <w:jc w:val="both"/>
      </w:pPr>
      <w:r>
        <w:rPr>
          <w:rFonts w:ascii="仿宋_GB2312" w:hAnsi="仿宋_GB2312" w:eastAsia="仿宋_GB2312"/>
          <w:b w:val="0"/>
          <w:color w:val="000000"/>
          <w:sz w:val="32"/>
        </w:rPr>
        <w:t>按《淄博市周村区王村镇国土空间规划（2021—2035年）》，王村镇的城镇性质被确定为"济淄同城化的桥头堡，新材料产业强镇、中国历史文化名镇"；近期目标（2021—2025年）为"百亿级高温新材料产业链初步形成，全力冲刺全市综合实力十强镇"。集群龙头与重点企业包括山东耐材集团（山耐集团）、八三石墨、大陆石墨、乐凡新材料、嘉岳铝硅新材料、联强远大装配式建筑等。</w:t>
      </w:r>
    </w:p>
    <w:p>
      <w:pPr>
        <w:spacing w:lineRule="exact" w:line="600" w:before="120" w:after="120"/>
        <w:ind w:firstLine="420"/>
        <w:jc w:val="left"/>
      </w:pPr>
      <w:r>
        <w:rPr>
          <w:rFonts w:ascii="黑体" w:hAnsi="黑体" w:eastAsia="黑体"/>
          <w:b w:val="0"/>
          <w:color w:val="000000"/>
          <w:sz w:val="32"/>
        </w:rPr>
        <w:t>十、数据来源说明</w:t>
      </w:r>
    </w:p>
    <w:p>
      <w:pPr>
        <w:spacing w:lineRule="exact" w:line="600" w:before="0" w:after="0"/>
        <w:ind w:firstLine="420"/>
        <w:jc w:val="both"/>
      </w:pPr>
      <w:r>
        <w:rPr>
          <w:rFonts w:ascii="仿宋_GB2312" w:hAnsi="仿宋_GB2312" w:eastAsia="仿宋_GB2312"/>
          <w:b w:val="0"/>
          <w:color w:val="000000"/>
          <w:sz w:val="32"/>
        </w:rPr>
        <w:t>1. 天眼查／顺企网／中国化信网／天下工厂网 山东和光新材料有限公司工商登记与企业基础信息（统一社会信用代码91370306MA3NY1ME61）。</w:t>
      </w:r>
    </w:p>
    <w:p>
      <w:pPr>
        <w:spacing w:lineRule="exact" w:line="600" w:before="0" w:after="0"/>
        <w:ind w:firstLine="420"/>
        <w:jc w:val="both"/>
      </w:pPr>
      <w:r>
        <w:rPr>
          <w:rFonts w:ascii="仿宋_GB2312" w:hAnsi="仿宋_GB2312" w:eastAsia="仿宋_GB2312"/>
          <w:b w:val="0"/>
          <w:color w:val="000000"/>
          <w:sz w:val="32"/>
        </w:rPr>
        <w:t>2. 国家知识产权局发明专利公开号CN112250332A（申请人为山东和光新材料有限公司）。</w:t>
      </w:r>
    </w:p>
    <w:p>
      <w:pPr>
        <w:spacing w:lineRule="exact" w:line="600" w:before="0" w:after="0"/>
        <w:ind w:firstLine="420"/>
        <w:jc w:val="both"/>
      </w:pPr>
      <w:r>
        <w:rPr>
          <w:rFonts w:ascii="仿宋_GB2312" w:hAnsi="仿宋_GB2312" w:eastAsia="仿宋_GB2312"/>
          <w:b w:val="0"/>
          <w:color w:val="000000"/>
          <w:sz w:val="32"/>
        </w:rPr>
        <w:t>3. 淄博市周村区人民政府官网《对区政协第十三届五次会议第135096号提案的答复》。</w:t>
      </w:r>
    </w:p>
    <w:p>
      <w:pPr>
        <w:spacing w:lineRule="exact" w:line="600" w:before="0" w:after="0"/>
        <w:ind w:firstLine="420"/>
        <w:jc w:val="both"/>
      </w:pPr>
      <w:r>
        <w:rPr>
          <w:rFonts w:ascii="仿宋_GB2312" w:hAnsi="仿宋_GB2312" w:eastAsia="仿宋_GB2312"/>
          <w:b w:val="0"/>
          <w:color w:val="000000"/>
          <w:sz w:val="32"/>
        </w:rPr>
        <w:t>4. 淄博市自然资源局《〈淄博市周村区王村镇国土空间规划（2021—2035年）〉批后公布》（2024年12月9日）。</w:t>
      </w:r>
    </w:p>
    <w:p>
      <w:pPr>
        <w:spacing w:lineRule="exact" w:line="600" w:before="0" w:after="0"/>
        <w:ind w:firstLine="420"/>
        <w:jc w:val="both"/>
      </w:pPr>
      <w:r>
        <w:rPr>
          <w:rFonts w:ascii="仿宋_GB2312" w:hAnsi="仿宋_GB2312" w:eastAsia="仿宋_GB2312"/>
          <w:b w:val="0"/>
          <w:color w:val="000000"/>
          <w:sz w:val="32"/>
        </w:rPr>
        <w:t>5. 经济日报《山东淄博周村区：产业转型铺展"镇"兴之路》、大众日报《从"老耐材"到"新材料"》。</w:t>
      </w:r>
    </w:p>
    <w:p>
      <w:pPr>
        <w:spacing w:lineRule="exact" w:line="600" w:before="0" w:after="0"/>
        <w:jc w:val="left"/>
      </w:pPr>
      <w:r>
        <w:rPr>
          <w:rFonts w:ascii="仿宋_GB2312" w:hAnsi="仿宋_GB2312" w:eastAsia="仿宋_GB2312"/>
          <w:b w:val="0"/>
          <w:color w:val="000000"/>
          <w:sz w:val="28"/>
        </w:rPr>
        <w:t>（说明：本报告涉及的工商信息以市场监督管理部门登记公示内容为准；企业在商务平台的自述性产能与业绩描述未经独立核实，报告中已明确标注来源属性；非上市企业财务数据未公开披露，本报告不作数字推测。报告结论供内部投融资决策参考，不构成投资建议。）</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