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山东淄博周村区(矿物功能新材料)特色产业集群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淄博同发耐火保温材料有限公司企业分析报告</w:t>
      </w:r>
    </w:p>
    <w:p>
      <w:pPr>
        <w:spacing w:lineRule="exact" w:line="600" w:before="0" w:after="0"/>
        <w:jc w:val="left"/>
      </w:pPr>
      <w:r>
        <w:rPr>
          <w:rFonts w:ascii="仿宋_GB2312" w:hAnsi="仿宋_GB2312" w:eastAsia="仿宋_GB2312"/>
          <w:b w:val="0"/>
          <w:color w:val="000000"/>
          <w:sz w:val="28"/>
        </w:rPr>
        <w:t>（本报告数据来源于全国企业信用信息公示系统及天眼查工商登记信息、淄博市周村区人民政府官网、淄博市自然资源局公开文件、经济日报、大众日报等权威媒体报道以及企业在公开B2B平台的自述资料。本企业为非上市小微企业，财务数据未公开披露，本报告对未公开数据不作任何推测或估算，统计时点截至最新可查信息。）</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淄博同发耐火保温材料有限公司（以下简称"同发耐材"或"公司"），英文名称Zibo Tongfa Refractory Insulation Materials Co., Ltd.，统一社会信用代码91370306665743167J，注册号370306228036381，组织机构代码66574316-7，企业登记状态为存续。公司成立（经营开始）时间为2007年8月20日，营业期限自2007年8月20日起长期有效。</w:t>
      </w:r>
    </w:p>
    <w:p>
      <w:pPr>
        <w:spacing w:lineRule="exact" w:line="600" w:before="0" w:after="0"/>
        <w:ind w:firstLine="420"/>
        <w:jc w:val="both"/>
      </w:pPr>
      <w:r>
        <w:rPr>
          <w:rFonts w:ascii="仿宋_GB2312" w:hAnsi="仿宋_GB2312" w:eastAsia="仿宋_GB2312"/>
          <w:b w:val="0"/>
          <w:color w:val="000000"/>
          <w:sz w:val="32"/>
        </w:rPr>
        <w:t>公司注册资本为1,000万元人民币，币种为人民币。企业类型为有限责任公司（自然人独资），法定代表人为孙柯。登记机关为淄博市市场监督管理局淄川分局。公司注册地址为山东省淄博市淄川区昆仑镇磁村村工业园路6号。联系电话13589589617，企业邮箱188488@qq.com，公司网址为http://www.zbtongfa.com。</w:t>
      </w:r>
    </w:p>
    <w:p>
      <w:pPr>
        <w:spacing w:lineRule="exact" w:line="600" w:before="0" w:after="0"/>
        <w:ind w:firstLine="420"/>
        <w:jc w:val="both"/>
      </w:pPr>
      <w:r>
        <w:rPr>
          <w:rFonts w:ascii="仿宋_GB2312" w:hAnsi="仿宋_GB2312" w:eastAsia="仿宋_GB2312"/>
          <w:b w:val="0"/>
          <w:color w:val="000000"/>
          <w:sz w:val="32"/>
        </w:rPr>
        <w:t>需如实说明区位问题：公司的市场监督管理登记注册地址位于淄博市淄川区昆仑镇，而在公开商务平台上披露的联系与经营地址为"淄博市周村区恒星路136号"。公司被纳入"山东淄博周村区(矿物功能新材料)特色产业集群"的分析范围，主要依据其在周村区的经营活动及其产品（硅酸铝纤维、陶瓷纤维等）属于矿物功能新材料范畴。两个地址并存的情形在中小企业中较为常见（注册地与实际经营地分离），金融机构在开展业务时，务必以实地尽调核实其真实生产经营场所、厂房权属（自有或租赁）及所在地政府的产业政策适用情况。</w:t>
      </w:r>
    </w:p>
    <w:p>
      <w:pPr>
        <w:spacing w:lineRule="exact" w:line="600" w:before="0" w:after="0"/>
        <w:ind w:firstLine="420"/>
        <w:jc w:val="both"/>
      </w:pPr>
      <w:r>
        <w:rPr>
          <w:rFonts w:ascii="仿宋_GB2312" w:hAnsi="仿宋_GB2312" w:eastAsia="仿宋_GB2312"/>
          <w:b w:val="0"/>
          <w:color w:val="000000"/>
          <w:sz w:val="32"/>
        </w:rPr>
        <w:t>国民经济行业分类为：非金属矿物制品业〉耐火材料制品制造〉耐火陶瓷制品及其他耐火材料制造。公司为小微企业，人员规模小于50人，工商公示的参保人数为5人。</w:t>
      </w:r>
    </w:p>
    <w:p>
      <w:pPr>
        <w:spacing w:lineRule="exact" w:line="600" w:before="120" w:after="120"/>
        <w:ind w:firstLine="420"/>
        <w:jc w:val="left"/>
      </w:pPr>
      <w:r>
        <w:rPr>
          <w:rFonts w:ascii="楷体_GB2312" w:hAnsi="楷体_GB2312" w:eastAsia="楷体_GB2312"/>
          <w:b w:val="0"/>
          <w:color w:val="000000"/>
          <w:sz w:val="32"/>
        </w:rPr>
        <w:t>（二）股权结构与组织架构</w:t>
      </w:r>
    </w:p>
    <w:p>
      <w:pPr>
        <w:spacing w:lineRule="exact" w:line="600" w:before="0" w:after="0"/>
        <w:ind w:firstLine="420"/>
        <w:jc w:val="both"/>
      </w:pPr>
      <w:r>
        <w:rPr>
          <w:rFonts w:ascii="仿宋_GB2312" w:hAnsi="仿宋_GB2312" w:eastAsia="仿宋_GB2312"/>
          <w:b w:val="0"/>
          <w:color w:val="000000"/>
          <w:sz w:val="32"/>
        </w:rPr>
        <w:t>公司企业类型为"有限责任公司（自然人独资）"，即由单一自然人全额出资设立并持有100%股权，法定代表人孙柯即为公司的实际控制人。这一股权结构决定了公司的决策效率高、但同时缺乏外部股东制衡与治理约束，公司命运与实际控制人的经营能力、个人信用及健康状况高度绑定。</w:t>
      </w:r>
    </w:p>
    <w:p>
      <w:pPr>
        <w:spacing w:lineRule="exact" w:line="600" w:before="0" w:after="0"/>
        <w:ind w:firstLine="420"/>
        <w:jc w:val="both"/>
      </w:pPr>
      <w:r>
        <w:rPr>
          <w:rFonts w:ascii="仿宋_GB2312" w:hAnsi="仿宋_GB2312" w:eastAsia="仿宋_GB2312"/>
          <w:b w:val="0"/>
          <w:color w:val="000000"/>
          <w:sz w:val="32"/>
        </w:rPr>
        <w:t>公司未公开披露子公司、分支机构或对外投资信息，据此判断其组织形态为单一法人主体经营，不存在复杂的集团架构。内部组织按小微制造企业的通行模式，一般设置生产、技术、销售、采购与综合管理等基本职能，具体组织设置未公开披露，本报告不作推测。</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自2007年8月成立以来，至今已持续经营十八年有余，在耐火保温材料这一细分领域具有较长的经营历史。对于小微制造企业而言，十八年的持续存续本身即是经营稳定性的重要证明——期间历经了钢铁行业的多轮周期波动、周村区对小散耐材企业的整治整合、以及环保标准的持续提高，公司仍保持登记状态存续，说明其具备一定的市场适应能力。</w:t>
      </w:r>
    </w:p>
    <w:p>
      <w:pPr>
        <w:spacing w:lineRule="exact" w:line="600" w:before="0" w:after="0"/>
        <w:ind w:firstLine="420"/>
        <w:jc w:val="both"/>
      </w:pPr>
      <w:r>
        <w:rPr>
          <w:rFonts w:ascii="仿宋_GB2312" w:hAnsi="仿宋_GB2312" w:eastAsia="仿宋_GB2312"/>
          <w:b w:val="0"/>
          <w:color w:val="000000"/>
          <w:sz w:val="32"/>
        </w:rPr>
        <w:t>据公司在B2B商务平台的自述资料，公司现已具备3大生产研发中心基地，拥有连熔连甩生产流水线6条、真空成型纤维制品生产线6条、纤维纺织与组合块生产线2条、干法树脂制品生产线2条、晶体氧化铝纤维生产线1条、纤维纸生产线1条，年产普通、标准、高纯、高铝等类型的纤维棉、陶瓷纤维针刺毯、硅酸铝纤维毡、陶瓷纤维隔热板、硅酸铝纤维纸、硅酸铝组合块及高温耐火纺织品10,000余吨。</w:t>
      </w:r>
    </w:p>
    <w:p>
      <w:pPr>
        <w:spacing w:lineRule="exact" w:line="600" w:before="0" w:after="0"/>
        <w:ind w:firstLine="420"/>
        <w:jc w:val="both"/>
      </w:pPr>
      <w:r>
        <w:rPr>
          <w:rFonts w:ascii="仿宋_GB2312" w:hAnsi="仿宋_GB2312" w:eastAsia="仿宋_GB2312"/>
          <w:b w:val="0"/>
          <w:color w:val="000000"/>
          <w:sz w:val="32"/>
        </w:rPr>
        <w:t>需重点提示：上述产能描述来源于企业在商务平台的自述性宣传资料，未经独立第三方核实，且与工商公示的"参保人数5人、人员规模小于50人、小微企业"状态存在明显的量级不匹配——按常识判断，年产万吨级、拥有十余条生产线的耐材企业，其用工规模通常远超50人。这一矛盾可能的解释包括：宣传资料存在夸大、产能表述包含关联企业或合作工厂、或参保人数未完整反映实际用工。本报告如实并列呈现两组信息，不作倾向性判断，并强烈建议金融机构在授信前通过实地走访、核查用电量、查验设备发票与产权凭证等方式独立核实其真实产能。</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的市场监督管理登记经营范围为：保温材料、耐磨材料生产、销售；耐火材料、陶瓷、钢材、建筑材料、不锈钢材料销售；窑炉设计、安装、施工；货物进出口。（依法须经批准的项目，经相关部门批准后方可开展经营活动。）</w:t>
      </w:r>
    </w:p>
    <w:p>
      <w:pPr>
        <w:spacing w:lineRule="exact" w:line="600" w:before="0" w:after="0"/>
        <w:ind w:firstLine="420"/>
        <w:jc w:val="both"/>
      </w:pPr>
      <w:r>
        <w:rPr>
          <w:rFonts w:ascii="仿宋_GB2312" w:hAnsi="仿宋_GB2312" w:eastAsia="仿宋_GB2312"/>
          <w:b w:val="0"/>
          <w:color w:val="000000"/>
          <w:sz w:val="32"/>
        </w:rPr>
        <w:t>据公司在商务平台的自述，公司是硅酸铝针刺毯、硅酸铝毡、硅酸铝棉的生产制造厂家，主要产品包括硅酸铝纤维、硅酸铝耐火纤维纸、保温硅酸铝模块、硅酸铝棉保温材料、硅酸铝棉针刺毯等系列产品，产品分类归属于"保温、隔热材料"、"耐火材料或防火材料"、"耐火和耐高温材料"。公司自述其产品服务于全国各地石油、化工、冶金、电力、建材、机械、纤维纺织等行业。</w:t>
      </w:r>
    </w:p>
    <w:p>
      <w:pPr>
        <w:spacing w:lineRule="exact" w:line="600" w:before="0" w:after="0"/>
        <w:ind w:firstLine="420"/>
        <w:jc w:val="both"/>
      </w:pPr>
      <w:r>
        <w:rPr>
          <w:rFonts w:ascii="仿宋_GB2312" w:hAnsi="仿宋_GB2312" w:eastAsia="仿宋_GB2312"/>
          <w:b w:val="0"/>
          <w:color w:val="000000"/>
          <w:sz w:val="32"/>
        </w:rPr>
        <w:t>从业务定位判断，公司属于"矿物功能新材料"中的陶瓷纤维/硅酸铝纤维保温材料细分赛道。该细分领域的技术核心在于纤维的纯度、渣球含量、耐火度与热导率控制，产品广泛用于工业窑炉的内衬保温、管道保温、高温设备隔热等场景，属于工业节能领域的关键基础材料。值得注意的是，公司经营范围中包含"窑炉设计、安装、施工"，这意味着公司具备从材料供应向"窑炉系统解决方案"延伸的业务基础，与周村区推动耐材企业从"卖耐火砖"向"卖炉子里的解决方案"转型的产业升级方向相一致。</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为非上市小微企业，未公开披露分产品、分地区的收入构成数据，本报告不作推测。基于其登记经营范围与自述产品线，可定性判断其业务由三部分构成：一是自产的硅酸铝/陶瓷纤维系列保温隔热制品，这应是主要收入来源；二是耐火材料、陶瓷、钢材、建材等外购商品的贸易销售；三是窑炉设计、安装、施工的工程服务收入。</w:t>
      </w:r>
    </w:p>
    <w:p>
      <w:pPr>
        <w:spacing w:lineRule="exact" w:line="600" w:before="0" w:after="0"/>
        <w:ind w:firstLine="420"/>
        <w:jc w:val="both"/>
      </w:pPr>
      <w:r>
        <w:rPr>
          <w:rFonts w:ascii="仿宋_GB2312" w:hAnsi="仿宋_GB2312" w:eastAsia="仿宋_GB2312"/>
          <w:b w:val="0"/>
          <w:color w:val="000000"/>
          <w:sz w:val="32"/>
        </w:rPr>
        <w:t>三类业务的财务特征差异显著：自产制品毛利率相对最高但需承担产能与库存压力；贸易业务周转快但毛利薄、占用资金；工程服务收入确认周期长、涉及质保金与项目回款风险。在尽调中应重点厘清三类业务的实际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公司自述的核心产品为硅酸铝纤维系列，主要包括：硅酸铝棉（纤维棉）、硅酸铝针刺毯（陶瓷纤维针刺毯）、硅酸铝纤维毡、陶瓷纤维隔热板、硅酸铝纤维纸、硅酸铝组合块（保温模块）以及高温耐火纺织品。按材质等级划分为普通、标准、高纯、高铝等类型，并自述拥有晶体氧化铝纤维生产线，该品类属于陶瓷纤维中的高端产品，使用温度可达1,600℃以上。</w:t>
      </w:r>
    </w:p>
    <w:p>
      <w:pPr>
        <w:spacing w:lineRule="exact" w:line="600" w:before="0" w:after="0"/>
        <w:ind w:firstLine="420"/>
        <w:jc w:val="both"/>
      </w:pPr>
      <w:r>
        <w:rPr>
          <w:rFonts w:ascii="仿宋_GB2312" w:hAnsi="仿宋_GB2312" w:eastAsia="仿宋_GB2312"/>
          <w:b w:val="0"/>
          <w:color w:val="000000"/>
          <w:sz w:val="32"/>
        </w:rPr>
        <w:t>工艺方面，公司自述拥有"连熔连甩"生产线，这是陶瓷纤维棉生产的主流工艺路线；"真空成型"生产线用于生产异形制品与板材；"干法树脂制品"生产线用于生产成型板；"纤维纺织"用于生产耐火布、绳、带等纺织品。若上述工艺配置属实，则公司具备较为完整的陶瓷纤维制品工艺谱系。</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未公开披露客户名称与集中度数据。据其自述，产品服务于全国各地石油、化工、冶金、电力、建材、机械、纤维纺织等行业，客户行业分布较广。陶瓷纤维保温材料的典型客户为工业窑炉的业主方（钢铁、玻璃、陶瓷、石化企业）与窑炉工程承包商。</w:t>
      </w:r>
    </w:p>
    <w:p>
      <w:pPr>
        <w:spacing w:lineRule="exact" w:line="600" w:before="0" w:after="0"/>
        <w:ind w:firstLine="420"/>
        <w:jc w:val="both"/>
      </w:pPr>
      <w:r>
        <w:rPr>
          <w:rFonts w:ascii="仿宋_GB2312" w:hAnsi="仿宋_GB2312" w:eastAsia="仿宋_GB2312"/>
          <w:b w:val="0"/>
          <w:color w:val="000000"/>
          <w:sz w:val="32"/>
        </w:rPr>
        <w:t>此类客户的共同特征是：采购决策以性价比与技术指标为主、结算账期通常较长（3—6个月常见）、大型客户议价能力强。对小微供应商而言，客户结构越是集中于大型国企，回款确定性越高但账期越长；客户越是分散于中小工程商，回款速度可能更快但坏账风险更高。尽调中须重点核实其前五大客户名单、合作年限、结算方式与实际回款记录。</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公司主要原材料为高纯焦宝石（高铝矾土熟料）、氧化铝粉、硅石、锆英砂（高端产品）以及粘结剂、包装材料等，主要能源为电力（电熔炉）与天然气。</w:t>
      </w:r>
    </w:p>
    <w:p>
      <w:pPr>
        <w:spacing w:lineRule="exact" w:line="600" w:before="0" w:after="0"/>
        <w:ind w:firstLine="420"/>
        <w:jc w:val="both"/>
      </w:pPr>
      <w:r>
        <w:rPr>
          <w:rFonts w:ascii="仿宋_GB2312" w:hAnsi="仿宋_GB2312" w:eastAsia="仿宋_GB2312"/>
          <w:b w:val="0"/>
          <w:color w:val="000000"/>
          <w:sz w:val="32"/>
        </w:rPr>
        <w:t>在采购上，公司具有显著的区位优势：淄博王村镇是全国重要的焦宝石产地与耐材原料基地，本地即可实现主要原料的就近采购，大幅降低运输成本并提高供应保障。这正是周村区能够形成矿物功能新材料产业集群的资源禀赋基础。</w:t>
      </w:r>
    </w:p>
    <w:p>
      <w:pPr>
        <w:spacing w:lineRule="exact" w:line="600" w:before="0" w:after="0"/>
        <w:ind w:firstLine="420"/>
        <w:jc w:val="both"/>
      </w:pPr>
      <w:r>
        <w:rPr>
          <w:rFonts w:ascii="仿宋_GB2312" w:hAnsi="仿宋_GB2312" w:eastAsia="仿宋_GB2312"/>
          <w:b w:val="0"/>
          <w:color w:val="000000"/>
          <w:sz w:val="32"/>
        </w:rPr>
        <w:t>风险方面，陶瓷纤维生产属于电熔工艺，电力成本在生产成本中占比高，电价上涨与限电措施会直接影响其成本与产量。公司未公开披露供应商集中度数据，本报告不作推测。</w:t>
      </w:r>
    </w:p>
    <w:p>
      <w:pPr>
        <w:spacing w:lineRule="exact" w:line="600" w:before="120" w:after="120"/>
        <w:ind w:firstLine="420"/>
        <w:jc w:val="left"/>
      </w:pPr>
      <w:r>
        <w:rPr>
          <w:rFonts w:ascii="楷体_GB2312" w:hAnsi="楷体_GB2312" w:eastAsia="楷体_GB2312"/>
          <w:b w:val="0"/>
          <w:color w:val="000000"/>
          <w:sz w:val="32"/>
        </w:rPr>
        <w:t>（五）产能、资源与资质</w:t>
      </w:r>
    </w:p>
    <w:p>
      <w:pPr>
        <w:spacing w:lineRule="exact" w:line="600" w:before="0" w:after="0"/>
        <w:ind w:firstLine="420"/>
        <w:jc w:val="both"/>
      </w:pPr>
      <w:r>
        <w:rPr>
          <w:rFonts w:ascii="仿宋_GB2312" w:hAnsi="仿宋_GB2312" w:eastAsia="仿宋_GB2312"/>
          <w:b w:val="0"/>
          <w:color w:val="000000"/>
          <w:sz w:val="32"/>
        </w:rPr>
        <w:t>产能方面，公司自述年产各类陶瓷纤维制品10,000余吨。如前所述，该数据来源于企业自述，与其小微企业属性存在张力，需独立核实。若按行业平均价格粗略衡量，万吨级陶瓷纤维产能对应的年产值规模应在亿元量级，这与"小微企业"的认定标准存在差距，进一步提示需要审慎核验。</w:t>
      </w:r>
    </w:p>
    <w:p>
      <w:pPr>
        <w:spacing w:lineRule="exact" w:line="600" w:before="0" w:after="0"/>
        <w:ind w:firstLine="420"/>
        <w:jc w:val="both"/>
      </w:pPr>
      <w:r>
        <w:rPr>
          <w:rFonts w:ascii="仿宋_GB2312" w:hAnsi="仿宋_GB2312" w:eastAsia="仿宋_GB2312"/>
          <w:b w:val="0"/>
          <w:color w:val="000000"/>
          <w:sz w:val="32"/>
        </w:rPr>
        <w:t>资质方面，公司经营范围中的"窑炉设计、安装、施工"属于"依法须经批准的项目"，实际开展工程业务需取得相应的建筑业企业资质。公司是否持有相关资质，未在公开渠道查得，本报告不作推测。此外，公司经营范围含"货物进出口"，若实际开展出口业务，需具备对外贸易经营者备案登记。</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从公开信息看，公司较为重视线上渠道建设：既建有独立企业网站（www.zbtongfa.com），也在中国制造网（made-in-china.com）等B2B平台开设了店铺并完成了身份认证，同时在多个工业品信息平台建有企业主页。这表明公司采取"线下直销＋线上引流"的组合渠道策略，并具备一定的外贸获客意识（中国制造网以外贸客户为主）。</w:t>
      </w:r>
    </w:p>
    <w:p>
      <w:pPr>
        <w:spacing w:lineRule="exact" w:line="600" w:before="0" w:after="0"/>
        <w:ind w:firstLine="420"/>
        <w:jc w:val="both"/>
      </w:pPr>
      <w:r>
        <w:rPr>
          <w:rFonts w:ascii="仿宋_GB2312" w:hAnsi="仿宋_GB2312" w:eastAsia="仿宋_GB2312"/>
          <w:b w:val="0"/>
          <w:color w:val="000000"/>
          <w:sz w:val="32"/>
        </w:rPr>
        <w:t>对小微制造企业而言，线上B2B渠道是低成本获取全国乃至海外客户的重要途径，公司在这方面的投入值得肯定。但线上渠道获取的订单通常单笔金额小、客户忠诚度低，难以形成稳定的大客户关系。</w:t>
      </w:r>
    </w:p>
    <w:p>
      <w:pPr>
        <w:spacing w:lineRule="exact" w:line="600" w:before="120" w:after="120"/>
        <w:ind w:firstLine="420"/>
        <w:jc w:val="left"/>
      </w:pPr>
      <w:r>
        <w:rPr>
          <w:rFonts w:ascii="楷体_GB2312" w:hAnsi="楷体_GB2312" w:eastAsia="楷体_GB2312"/>
          <w:b w:val="0"/>
          <w:color w:val="000000"/>
          <w:sz w:val="32"/>
        </w:rPr>
        <w:t>（七）经营数据与市场地位</w:t>
      </w:r>
    </w:p>
    <w:p>
      <w:pPr>
        <w:spacing w:lineRule="exact" w:line="600" w:before="0" w:after="0"/>
        <w:ind w:firstLine="420"/>
        <w:jc w:val="both"/>
      </w:pPr>
      <w:r>
        <w:rPr>
          <w:rFonts w:ascii="仿宋_GB2312" w:hAnsi="仿宋_GB2312" w:eastAsia="仿宋_GB2312"/>
          <w:b w:val="0"/>
          <w:color w:val="000000"/>
          <w:sz w:val="32"/>
        </w:rPr>
        <w:t>公司经营数据未公开披露，本报告不作推测。从市场地位判断，公司自述"建立了良好的口碑及产品知名度，是山东甚至全国重要的保温材料生产企业"，此为企业自我评价，未经第三方验证。</w:t>
      </w:r>
    </w:p>
    <w:p>
      <w:pPr>
        <w:spacing w:lineRule="exact" w:line="600" w:before="0" w:after="0"/>
        <w:ind w:firstLine="420"/>
        <w:jc w:val="both"/>
      </w:pPr>
      <w:r>
        <w:rPr>
          <w:rFonts w:ascii="仿宋_GB2312" w:hAnsi="仿宋_GB2312" w:eastAsia="仿宋_GB2312"/>
          <w:b w:val="0"/>
          <w:color w:val="000000"/>
          <w:sz w:val="32"/>
        </w:rPr>
        <w:t>客观而言，在周村区矿物功能新材料集群内，公司并非集群报道中重点提及的龙头企业（集群龙头为山东耐材集团、八三石墨、大陆石墨、乐凡新材料等），而是属于集群中众多中小配套企业之一。其在细分的陶瓷纤维保温材料赛道上具有一定基础，但整体规模与行业影响力有限。</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（一）财务数据披露情况说明</w:t>
      </w:r>
    </w:p>
    <w:p>
      <w:pPr>
        <w:spacing w:lineRule="exact" w:line="600" w:before="0" w:after="0"/>
        <w:ind w:firstLine="420"/>
        <w:jc w:val="both"/>
      </w:pPr>
      <w:r>
        <w:rPr>
          <w:rFonts w:ascii="仿宋_GB2312" w:hAnsi="仿宋_GB2312" w:eastAsia="仿宋_GB2312"/>
          <w:b w:val="0"/>
          <w:color w:val="000000"/>
          <w:sz w:val="32"/>
        </w:rPr>
        <w:t>公司为非上市有限责任公司，依法无需向社会公众披露财务报表。经检索公开渠道（含企业信用信息公示系统年报公示、第三方商业数据平台、新闻媒体报道等），未获取到公司的营业收入、净利润、总资产、负债、现金流等任何具体财务数据。据此，本报告明确标注：本企业财务数据未公开披露。本报告严格遵守数据真实性原则，不对上述财务指标作任何推测、估算或类比填充。</w:t>
      </w:r>
    </w:p>
    <w:p>
      <w:pPr>
        <w:spacing w:lineRule="exact" w:line="600" w:before="120" w:after="120"/>
        <w:ind w:firstLine="420"/>
        <w:jc w:val="left"/>
      </w:pPr>
      <w:r>
        <w:rPr>
          <w:rFonts w:ascii="楷体_GB2312" w:hAnsi="楷体_GB2312" w:eastAsia="楷体_GB2312"/>
          <w:b w:val="0"/>
          <w:color w:val="000000"/>
          <w:sz w:val="32"/>
        </w:rPr>
        <w:t>（二）可获取的间接财务信息</w:t>
      </w:r>
    </w:p>
    <w:p>
      <w:pPr>
        <w:spacing w:lineRule="exact" w:line="600" w:before="0" w:after="0"/>
        <w:ind w:firstLine="420"/>
        <w:jc w:val="both"/>
      </w:pPr>
      <w:r>
        <w:rPr>
          <w:rFonts w:ascii="仿宋_GB2312" w:hAnsi="仿宋_GB2312" w:eastAsia="仿宋_GB2312"/>
          <w:b w:val="0"/>
          <w:color w:val="000000"/>
          <w:sz w:val="32"/>
        </w:rPr>
        <w:t>通过工商登记信息可获取的与财务相关的间接信息有：一是注册资本1,000万元人民币（注册资本为认缴金额，实缴情况未公示，不能直接等同于企业实际资本实力）；二是企业被认定为"小微企业"，按现行小微企业划型标准，非金属矿物制品业中的小型企业标准为从业人员20人以上300人以下且营业收入300万元以上2,000万元以下，微型企业为从业人员20人以下或营业收入300万元以下；三是参保人数5人。</w:t>
      </w:r>
    </w:p>
    <w:p>
      <w:pPr>
        <w:spacing w:lineRule="exact" w:line="600" w:before="0" w:after="0"/>
        <w:ind w:firstLine="420"/>
        <w:jc w:val="both"/>
      </w:pPr>
      <w:r>
        <w:rPr>
          <w:rFonts w:ascii="仿宋_GB2312" w:hAnsi="仿宋_GB2312" w:eastAsia="仿宋_GB2312"/>
          <w:b w:val="0"/>
          <w:color w:val="000000"/>
          <w:sz w:val="32"/>
        </w:rPr>
        <w:t>上述间接信息提示：若"小微企业"认定属实，则公司的实际营业收入规模可能显著低于其自述的万吨级产能所对应的产值水平。这一判断对授信额度的确定具有关键意义，本报告将其作为重要提示予以列明，但不据此推算具体数字。</w:t>
      </w:r>
    </w:p>
    <w:p>
      <w:pPr>
        <w:spacing w:lineRule="exact" w:line="600" w:before="120" w:after="120"/>
        <w:ind w:firstLine="420"/>
        <w:jc w:val="left"/>
      </w:pPr>
      <w:r>
        <w:rPr>
          <w:rFonts w:ascii="楷体_GB2312" w:hAnsi="楷体_GB2312" w:eastAsia="楷体_GB2312"/>
          <w:b w:val="0"/>
          <w:color w:val="000000"/>
          <w:sz w:val="32"/>
        </w:rPr>
        <w:t>（三）财务尽职调查建议</w:t>
      </w:r>
    </w:p>
    <w:p>
      <w:pPr>
        <w:spacing w:lineRule="exact" w:line="600" w:before="0" w:after="0"/>
        <w:ind w:firstLine="420"/>
        <w:jc w:val="both"/>
      </w:pPr>
      <w:r>
        <w:rPr>
          <w:rFonts w:ascii="仿宋_GB2312" w:hAnsi="仿宋_GB2312" w:eastAsia="仿宋_GB2312"/>
          <w:b w:val="0"/>
          <w:color w:val="000000"/>
          <w:sz w:val="32"/>
        </w:rPr>
        <w:t>鉴于公开财务信息的完全缺失，建议金融机构在开展任何业务前，必须通过以下途径获取并交叉验证财务信息：一是取得企业近三年完整财务报表（资产负债表、利润表、现金流量表），并尽可能要求提供经会计师事务所审计的版本；二是调取近两年增值税纳税申报表、企业所得税年度汇算清缴报告与开票数据，税务数据的可信度通常高于自制报表；三是调取主要银行账户近12个月的对账流水，核验实际经营现金流；四是核查近两年的用电量、用气量数据，以能耗倒推实际产量，这是核验制造企业真实产能最有效的方法之一；五是核查实际控制人孙柯的个人征信、涉诉记录与对外担保情况；六是通过企业信用信息公示系统、中国裁判文书网、被执行人信息查询系统核查企业的行政处罚、司法诉讼、失信被执行等负面记录。</w:t>
      </w:r>
    </w:p>
    <w:p>
      <w:pPr>
        <w:spacing w:lineRule="exact" w:line="600" w:before="120" w:after="120"/>
        <w:ind w:firstLine="420"/>
        <w:jc w:val="left"/>
      </w:pPr>
      <w:r>
        <w:rPr>
          <w:rFonts w:ascii="楷体_GB2312" w:hAnsi="楷体_GB2312" w:eastAsia="楷体_GB2312"/>
          <w:b w:val="0"/>
          <w:color w:val="000000"/>
          <w:sz w:val="32"/>
        </w:rPr>
        <w:t>（四）财务风险的定性判断</w:t>
      </w:r>
    </w:p>
    <w:p>
      <w:pPr>
        <w:spacing w:lineRule="exact" w:line="600" w:before="0" w:after="0"/>
        <w:ind w:firstLine="420"/>
        <w:jc w:val="both"/>
      </w:pPr>
      <w:r>
        <w:rPr>
          <w:rFonts w:ascii="仿宋_GB2312" w:hAnsi="仿宋_GB2312" w:eastAsia="仿宋_GB2312"/>
          <w:b w:val="0"/>
          <w:color w:val="000000"/>
          <w:sz w:val="32"/>
        </w:rPr>
        <w:t>在缺乏具体数据的前提下，基于行业与企业类型的一般规律，可作出的定性判断是：此类小微耐材企业普遍存在"重资产、低周转、应收账款占比高、自有资本薄弱"的财务特征。窑炉与生产线属于专用设备，变现能力弱；下游钢铁冶金客户账期长，应收账款周转慢；而原材料采购与电费支出往往需要现款，形成营运资金的结构性缺口。这既是其融资需求的来源，也是其信用风险的主要成因。</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公司为有限责任公司（自然人独资），由单一自然人股东全资持有。按《公司法》规定，一人有限责任公司不设股东会，股东行使股东会职权时应采用书面形式。公司法定代表人为孙柯。</w:t>
      </w:r>
    </w:p>
    <w:p>
      <w:pPr>
        <w:spacing w:lineRule="exact" w:line="600" w:before="0" w:after="0"/>
        <w:ind w:firstLine="420"/>
        <w:jc w:val="both"/>
      </w:pPr>
      <w:r>
        <w:rPr>
          <w:rFonts w:ascii="仿宋_GB2312" w:hAnsi="仿宋_GB2312" w:eastAsia="仿宋_GB2312"/>
          <w:b w:val="0"/>
          <w:color w:val="000000"/>
          <w:sz w:val="32"/>
        </w:rPr>
        <w:t>此类治理结构的特点是决策链条极短、响应市场变化快，适合小规模灵活经营；但同时存在明显的治理缺陷：缺乏股东会与董事会的制衡机制、缺乏独立监督、重大决策依赖个人判断。尤为需要关注的是，《公司法》规定一人有限责任公司的股东若不能证明公司财产独立于股东自己的财产，应当对公司债务承担连带责任。这一规定在债权人视角下既是风险提示（财产混同可能性高），也是一定程度的保障（可主张股东连带责任）。</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公司法定代表人兼唯一股东为孙柯。公开渠道中另有以"孙女士（经理）"署名的业务联系信息。公司未公开披露管理团队的具体构成、专业背景与从业经历，本报告不作推测。</w:t>
      </w:r>
    </w:p>
    <w:p>
      <w:pPr>
        <w:spacing w:lineRule="exact" w:line="600" w:before="0" w:after="0"/>
        <w:ind w:firstLine="420"/>
        <w:jc w:val="both"/>
      </w:pPr>
      <w:r>
        <w:rPr>
          <w:rFonts w:ascii="仿宋_GB2312" w:hAnsi="仿宋_GB2312" w:eastAsia="仿宋_GB2312"/>
          <w:b w:val="0"/>
          <w:color w:val="000000"/>
          <w:sz w:val="32"/>
        </w:rPr>
        <w:t>对于自然人独资的小微企业，实际控制人的经营能力、行业经验、个人品行与健康状况是企业信用最核心的决定因素，其重要性远超财务报表。建议在尽调中重点了解孙柯的从业年限、行业口碑、个人资产状况与家庭情况，并将其个人及配偶的连带责任保证作为业务开展的必要条件。</w:t>
      </w:r>
    </w:p>
    <w:p>
      <w:pPr>
        <w:spacing w:lineRule="exact" w:line="600" w:before="120" w:after="120"/>
        <w:ind w:firstLine="420"/>
        <w:jc w:val="left"/>
      </w:pPr>
      <w:r>
        <w:rPr>
          <w:rFonts w:ascii="楷体_GB2312" w:hAnsi="楷体_GB2312" w:eastAsia="楷体_GB2312"/>
          <w:b w:val="0"/>
          <w:color w:val="000000"/>
          <w:sz w:val="32"/>
        </w:rPr>
        <w:t>（三）组织与内部控制</w:t>
      </w:r>
    </w:p>
    <w:p>
      <w:pPr>
        <w:spacing w:lineRule="exact" w:line="600" w:before="0" w:after="0"/>
        <w:ind w:firstLine="420"/>
        <w:jc w:val="both"/>
      </w:pPr>
      <w:r>
        <w:rPr>
          <w:rFonts w:ascii="仿宋_GB2312" w:hAnsi="仿宋_GB2312" w:eastAsia="仿宋_GB2312"/>
          <w:b w:val="0"/>
          <w:color w:val="000000"/>
          <w:sz w:val="32"/>
        </w:rPr>
        <w:t>公司规模小、组织层级简单，内部控制体系大概率不健全，这是同类小微企业的普遍状态。关键风险点在于：财务与出纳职责可能未分离、缺乏规范的成本核算体系、合同与印章管理不规范、安全生产管理依赖经验而非制度。</w:t>
      </w:r>
    </w:p>
    <w:p>
      <w:pPr>
        <w:spacing w:lineRule="exact" w:line="600" w:before="0" w:after="0"/>
        <w:ind w:firstLine="420"/>
        <w:jc w:val="both"/>
      </w:pPr>
      <w:r>
        <w:rPr>
          <w:rFonts w:ascii="仿宋_GB2312" w:hAnsi="仿宋_GB2312" w:eastAsia="仿宋_GB2312"/>
          <w:b w:val="0"/>
          <w:color w:val="000000"/>
          <w:sz w:val="32"/>
        </w:rPr>
        <w:t>同时也应看到，公司持续经营十八年、登记状态始终存续、未见公开的重大负面记录，说明其在基本合规经营方面保持了应有的底线。</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工商公示信息显示，公司人员规模小于50人，参保人数为5人。参保人数与自述产能的严重不匹配，是本报告在人力资源方面必须如实指出的关键疑点。</w:t>
      </w:r>
    </w:p>
    <w:p>
      <w:pPr>
        <w:spacing w:lineRule="exact" w:line="600" w:before="0" w:after="0"/>
        <w:ind w:firstLine="420"/>
        <w:jc w:val="both"/>
      </w:pPr>
      <w:r>
        <w:rPr>
          <w:rFonts w:ascii="仿宋_GB2312" w:hAnsi="仿宋_GB2312" w:eastAsia="仿宋_GB2312"/>
          <w:b w:val="0"/>
          <w:color w:val="000000"/>
          <w:sz w:val="32"/>
        </w:rPr>
        <w:t>可能的情形包括：一是企业存在大量未参保的临时用工或劳务派遣用工，这在中小制造企业中较为常见，但也构成用工合规风险；二是自述产能包含了关联企业或代工厂的产能；三是宣传资料存在不实成分。无论何种情形，均需通过实地走访生产现场、清点在岗人数、核查工资发放记录予以澄清。用工不规范本身也是一项潜在的合规与成本风险（可能面临补缴社保、工伤赔付等责任）。</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长期经营积累的行业经验与客户口碑。公司自2007年成立，持续经营十八年，在陶瓷纤维保温材料领域形成了相对稳定的工艺认知与客户关系。在技术门槛不算极高的传统材料行业中，"活得久"本身就是一种竞争力的证明。</w:t>
      </w:r>
    </w:p>
    <w:p>
      <w:pPr>
        <w:spacing w:lineRule="exact" w:line="600" w:before="0" w:after="0"/>
        <w:ind w:firstLine="420"/>
        <w:jc w:val="both"/>
      </w:pPr>
      <w:r>
        <w:rPr>
          <w:rFonts w:ascii="仿宋_GB2312" w:hAnsi="仿宋_GB2312" w:eastAsia="仿宋_GB2312"/>
          <w:b w:val="0"/>
          <w:color w:val="000000"/>
          <w:sz w:val="32"/>
        </w:rPr>
        <w:t>第二，资源与区位优势。公司所在的淄博地区是全国重要的焦宝石与耐材原料基地，周村王村镇形成了集矿石开采、焦宝石煅烧、耐材制造于一体的完整产业链，在全镇工业经济中占比接近80%。公司可就近获取原料、共享产业配套与技术人才，这是异地企业难以复制的优势。</w:t>
      </w:r>
    </w:p>
    <w:p>
      <w:pPr>
        <w:spacing w:lineRule="exact" w:line="600" w:before="0" w:after="0"/>
        <w:ind w:firstLine="420"/>
        <w:jc w:val="both"/>
      </w:pPr>
      <w:r>
        <w:rPr>
          <w:rFonts w:ascii="仿宋_GB2312" w:hAnsi="仿宋_GB2312" w:eastAsia="仿宋_GB2312"/>
          <w:b w:val="0"/>
          <w:color w:val="000000"/>
          <w:sz w:val="32"/>
        </w:rPr>
        <w:t>第三，相对完整的工艺谱系。据企业自述，公司拥有连熔连甩、真空成型、纤维纺织、干法树脂、晶体氧化铝纤维、纤维纸等多条工艺路线，产品覆盖棉、毯、毡、板、纸、模块、纺织品等多种形态。若属实，则其产品组合的完整性优于单一品种的小厂，能够为客户提供一站式配套。</w:t>
      </w:r>
    </w:p>
    <w:p>
      <w:pPr>
        <w:spacing w:lineRule="exact" w:line="600" w:before="0" w:after="0"/>
        <w:ind w:firstLine="420"/>
        <w:jc w:val="both"/>
      </w:pPr>
      <w:r>
        <w:rPr>
          <w:rFonts w:ascii="仿宋_GB2312" w:hAnsi="仿宋_GB2312" w:eastAsia="仿宋_GB2312"/>
          <w:b w:val="0"/>
          <w:color w:val="000000"/>
          <w:sz w:val="32"/>
        </w:rPr>
        <w:t>第四，向"窑炉系统解决方案"延伸的潜力。公司经营范围包含窑炉设计、安装、施工，具备从"卖材料"向"卖服务"升级的业务基础。周村区媒体报道显示，当地领先企业正"一步步从卖耐火砖向卖炉子里的解决方案转型"，且高端产品单价可为普通产品的数倍。公司若能沿此方向发展，将显著提升附加值。</w:t>
      </w:r>
    </w:p>
    <w:p>
      <w:pPr>
        <w:spacing w:lineRule="exact" w:line="600" w:before="0" w:after="0"/>
        <w:ind w:firstLine="420"/>
        <w:jc w:val="both"/>
      </w:pPr>
      <w:r>
        <w:rPr>
          <w:rFonts w:ascii="仿宋_GB2312" w:hAnsi="仿宋_GB2312" w:eastAsia="仿宋_GB2312"/>
          <w:b w:val="0"/>
          <w:color w:val="000000"/>
          <w:sz w:val="32"/>
        </w:rPr>
        <w:t>必须客观指出公司护城河的薄弱之处：一是规模过小（小微企业、参保5人），缺乏规模经济与抗风险能力；二是未见其进入高新技术企业、专精特新企业等名录（王村镇高新技术企业共7家，未见公开信息显示公司在列），技术创新能力缺乏第三方认证支撑；三是产品仍以传统陶瓷纤维制品为主，技术壁垒有限，面临激烈的同质化竞争。综合判断，公司的竞争优势属于"经验型＋区位型"，而非"技术型＋规模型"，护城河较浅。</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（一）行业与政策风险</w:t>
      </w:r>
    </w:p>
    <w:p>
      <w:pPr>
        <w:spacing w:lineRule="exact" w:line="600" w:before="0" w:after="0"/>
        <w:ind w:firstLine="420"/>
        <w:jc w:val="both"/>
      </w:pPr>
      <w:r>
        <w:rPr>
          <w:rFonts w:ascii="仿宋_GB2312" w:hAnsi="仿宋_GB2312" w:eastAsia="仿宋_GB2312"/>
          <w:b w:val="0"/>
          <w:color w:val="000000"/>
          <w:sz w:val="32"/>
        </w:rPr>
        <w:t>一是下游钢铁、建材、有色行业周期风险。矿物功能新材料与耐火保温材料的下游主要为钢铁、冶金、建材、石化、电力等高耗能行业。上述行业受宏观投资、房地产周期与产能调控政策影响显著，需求波动会直接传导至上游材料企业的订单与价格。</w:t>
      </w:r>
    </w:p>
    <w:p>
      <w:pPr>
        <w:spacing w:lineRule="exact" w:line="600" w:before="0" w:after="0"/>
        <w:ind w:firstLine="420"/>
        <w:jc w:val="both"/>
      </w:pPr>
      <w:r>
        <w:rPr>
          <w:rFonts w:ascii="仿宋_GB2312" w:hAnsi="仿宋_GB2312" w:eastAsia="仿宋_GB2312"/>
          <w:b w:val="0"/>
          <w:color w:val="000000"/>
          <w:sz w:val="32"/>
        </w:rPr>
        <w:t>二是环保与"双碳"政策风险。矿物材料加工与耐材煅烧属于高能耗、易产生粉尘排放的工序，受环保督察、错峰生产、能耗双控等政策约束明显。周村区对王村镇小散耐材企业的历次整治，即体现了政策的刚性约束。小微企业因环保投入能力有限，在监管趋严时承压更为突出。</w:t>
      </w:r>
    </w:p>
    <w:p>
      <w:pPr>
        <w:spacing w:lineRule="exact" w:line="600" w:before="0" w:after="0"/>
        <w:ind w:firstLine="420"/>
        <w:jc w:val="both"/>
      </w:pPr>
      <w:r>
        <w:rPr>
          <w:rFonts w:ascii="仿宋_GB2312" w:hAnsi="仿宋_GB2312" w:eastAsia="仿宋_GB2312"/>
          <w:b w:val="0"/>
          <w:color w:val="000000"/>
          <w:sz w:val="32"/>
        </w:rPr>
        <w:t>三是资源与产业布局政策风险。焦宝石等矿产资源的开采受严格管控，园区化、集约化是明确的政策方向。未入驻规划园区、或不符合"亩产效益"评价要求的企业，可能面临搬迁、限产乃至退出的压力。</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一是规模弱小带来的抗风险能力不足。企业属于小微企业，注册资本与人员规模有限，在原材料价格上涨、下游账期拉长或订单波动时，缺乏足够的财务缓冲。</w:t>
      </w:r>
    </w:p>
    <w:p>
      <w:pPr>
        <w:spacing w:lineRule="exact" w:line="600" w:before="0" w:after="0"/>
        <w:ind w:firstLine="420"/>
        <w:jc w:val="both"/>
      </w:pPr>
      <w:r>
        <w:rPr>
          <w:rFonts w:ascii="仿宋_GB2312" w:hAnsi="仿宋_GB2312" w:eastAsia="仿宋_GB2312"/>
          <w:b w:val="0"/>
          <w:color w:val="000000"/>
          <w:sz w:val="32"/>
        </w:rPr>
        <w:t>二是同质化竞争风险。周村王村镇聚集了大量耐材与矿物材料企业，低端产品同质化竞争激烈，价格战风险较高。据媒体报道，普通粘土砖、高铝砖等低端产品"一吨只能卖几百块钱"，而高端产品单价可为普通产品的数倍，产品结构决定盈利水平的分化极为明显。</w:t>
      </w:r>
    </w:p>
    <w:p>
      <w:pPr>
        <w:spacing w:lineRule="exact" w:line="600" w:before="0" w:after="0"/>
        <w:ind w:firstLine="420"/>
        <w:jc w:val="both"/>
      </w:pPr>
      <w:r>
        <w:rPr>
          <w:rFonts w:ascii="仿宋_GB2312" w:hAnsi="仿宋_GB2312" w:eastAsia="仿宋_GB2312"/>
          <w:b w:val="0"/>
          <w:color w:val="000000"/>
          <w:sz w:val="32"/>
        </w:rPr>
        <w:t>三是客户与应收账款风险。下游钢铁、冶金企业普遍强势，账期长、议价能力强，小微供应商往往被动接受不利结算条件。</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企业财务数据未公开披露，无法进行量化的财务风险评估。基于同类小微制造企业的一般特征，可提示的潜在风险包括：自有资本薄弱、对短期借款依赖度可能较高、应收账款与存货占用营运资金比例大、缺乏规范的财务管理体系与经审计财务报表。金融机构在开展业务前，须通过实地尽调获取企业真实的财务报表、银行流水、纳税申报与用电用气数据进行交叉验证。</w:t>
      </w:r>
    </w:p>
    <w:p>
      <w:pPr>
        <w:spacing w:lineRule="exact" w:line="600" w:before="120" w:after="120"/>
        <w:ind w:firstLine="420"/>
        <w:jc w:val="left"/>
      </w:pPr>
      <w:r>
        <w:rPr>
          <w:rFonts w:ascii="楷体_GB2312" w:hAnsi="楷体_GB2312" w:eastAsia="楷体_GB2312"/>
          <w:b w:val="0"/>
          <w:color w:val="000000"/>
          <w:sz w:val="32"/>
        </w:rPr>
        <w:t>（四）合规与管理风险</w:t>
      </w:r>
    </w:p>
    <w:p>
      <w:pPr>
        <w:spacing w:lineRule="exact" w:line="600" w:before="0" w:after="0"/>
        <w:ind w:firstLine="420"/>
        <w:jc w:val="both"/>
      </w:pPr>
      <w:r>
        <w:rPr>
          <w:rFonts w:ascii="仿宋_GB2312" w:hAnsi="仿宋_GB2312" w:eastAsia="仿宋_GB2312"/>
          <w:b w:val="0"/>
          <w:color w:val="000000"/>
          <w:sz w:val="32"/>
        </w:rPr>
        <w:t>一是安全生产风险。窑炉高温作业、粉尘环境、机械加工均存在安全隐患。二是治理结构风险。企业为自然人独资或法人独资形式，所有权与经营权高度集中，缺乏外部制衡，实际控制人个人信用与经营决策对企业影响巨大，同时存在企业财产与个人财产混同的可能。三是信息透明度风险。企业未公开披露财务与经营数据，外部机构难以获取充分信息，尽职调查成本较高。</w:t>
      </w:r>
    </w:p>
    <w:p>
      <w:pPr>
        <w:spacing w:lineRule="exact" w:line="600" w:before="120" w:after="120"/>
        <w:ind w:firstLine="420"/>
        <w:jc w:val="left"/>
      </w:pPr>
      <w:r>
        <w:rPr>
          <w:rFonts w:ascii="楷体_GB2312" w:hAnsi="楷体_GB2312" w:eastAsia="楷体_GB2312"/>
          <w:b w:val="0"/>
          <w:color w:val="000000"/>
          <w:sz w:val="32"/>
        </w:rPr>
        <w:t>（五）本企业特有风险提示</w:t>
      </w:r>
    </w:p>
    <w:p>
      <w:pPr>
        <w:spacing w:lineRule="exact" w:line="600" w:before="0" w:after="0"/>
        <w:ind w:firstLine="420"/>
        <w:jc w:val="both"/>
      </w:pPr>
      <w:r>
        <w:rPr>
          <w:rFonts w:ascii="仿宋_GB2312" w:hAnsi="仿宋_GB2312" w:eastAsia="仿宋_GB2312"/>
          <w:b w:val="0"/>
          <w:color w:val="000000"/>
          <w:sz w:val="32"/>
        </w:rPr>
        <w:t>一是信息不一致风险。公司自述产能（年产万吨、十余条生产线、三大生产基地）与工商公示状态（小微企业、参保5人、人员小于50人）存在显著矛盾，在核实清楚之前，不应采信任何一方的表述作为授信依据。</w:t>
      </w:r>
    </w:p>
    <w:p>
      <w:pPr>
        <w:spacing w:lineRule="exact" w:line="600" w:before="0" w:after="0"/>
        <w:ind w:firstLine="420"/>
        <w:jc w:val="both"/>
      </w:pPr>
      <w:r>
        <w:rPr>
          <w:rFonts w:ascii="仿宋_GB2312" w:hAnsi="仿宋_GB2312" w:eastAsia="仿宋_GB2312"/>
          <w:b w:val="0"/>
          <w:color w:val="000000"/>
          <w:sz w:val="32"/>
        </w:rPr>
        <w:t>二是注册地与经营地分离风险。注册地在淄川区昆仑镇，而对外公布的经营地在周村区恒星路，需核实实际生产场所的位置、权属与合规性（是否在合法工业用地上、是否符合园区规划要求）。如实际生产场所不在规划园区内，未来可能面临搬迁风险。</w:t>
      </w:r>
    </w:p>
    <w:p>
      <w:pPr>
        <w:spacing w:lineRule="exact" w:line="600" w:before="0" w:after="0"/>
        <w:ind w:firstLine="420"/>
        <w:jc w:val="both"/>
      </w:pPr>
      <w:r>
        <w:rPr>
          <w:rFonts w:ascii="仿宋_GB2312" w:hAnsi="仿宋_GB2312" w:eastAsia="仿宋_GB2312"/>
          <w:b w:val="0"/>
          <w:color w:val="000000"/>
          <w:sz w:val="32"/>
        </w:rPr>
        <w:t>三是应对措施评估。公司未公开披露其风险应对措施。从其在B2B平台的持续运营、企业网站的维护、多个邮箱与联系方式的启用来看，公司在市场开拓方面保持了主动性；但在环保投入、技术升级、规范化管理方面是否有实质性举措，公开信息无从判断。</w:t>
      </w:r>
    </w:p>
    <w:p>
      <w:pPr>
        <w:spacing w:lineRule="exact" w:line="600" w:before="120" w:after="120"/>
        <w:ind w:firstLine="420"/>
        <w:jc w:val="left"/>
      </w:pPr>
      <w:r>
        <w:rPr>
          <w:rFonts w:ascii="黑体" w:hAnsi="黑体" w:eastAsia="黑体"/>
          <w:b w:val="0"/>
          <w:color w:val="000000"/>
          <w:sz w:val="32"/>
        </w:rPr>
        <w:t>七、融资需求分析（与山东投资协同）</w:t>
      </w:r>
    </w:p>
    <w:p>
      <w:pPr>
        <w:spacing w:lineRule="exact" w:line="600" w:before="120" w:after="120"/>
        <w:ind w:firstLine="420"/>
        <w:jc w:val="left"/>
      </w:pPr>
      <w:r>
        <w:rPr>
          <w:rFonts w:ascii="楷体_GB2312" w:hAnsi="楷体_GB2312" w:eastAsia="楷体_GB2312"/>
          <w:b w:val="0"/>
          <w:color w:val="000000"/>
          <w:sz w:val="32"/>
        </w:rPr>
        <w:t>（一）总体判断</w:t>
      </w:r>
    </w:p>
    <w:p>
      <w:pPr>
        <w:spacing w:lineRule="exact" w:line="600" w:before="0" w:after="0"/>
        <w:ind w:firstLine="420"/>
        <w:jc w:val="both"/>
      </w:pPr>
      <w:r>
        <w:rPr>
          <w:rFonts w:ascii="仿宋_GB2312" w:hAnsi="仿宋_GB2312" w:eastAsia="仿宋_GB2312"/>
          <w:b w:val="0"/>
          <w:color w:val="000000"/>
          <w:sz w:val="32"/>
        </w:rPr>
        <w:t>淄博同发耐火保温材料有限公司为非上市小微企业，财务数据未公开披露，无法基于公开信息判断其具体的资金缺口规模与偿债能力。基于其行业属性（矿物功能新材料/耐火保温材料）与企业规模，可作出的定性判断是：此类企业的融资需求通常具有"额度小、频次高、期限短、与订单和采购周期强相关"的特征，主要用于原材料采购备货、应收账款账期垫资与设备技改投入。开展任何实质性业务前，必须完成实地尽职调查，获取经审计或经核验的财务报表、纳税与开票数据、银行流水、用电用气记录及主要购销合同。</w:t>
      </w:r>
    </w:p>
    <w:p>
      <w:pPr>
        <w:spacing w:lineRule="exact" w:line="600" w:before="120" w:after="120"/>
        <w:ind w:firstLine="420"/>
        <w:jc w:val="left"/>
      </w:pPr>
      <w:r>
        <w:rPr>
          <w:rFonts w:ascii="楷体_GB2312" w:hAnsi="楷体_GB2312" w:eastAsia="楷体_GB2312"/>
          <w:b w:val="0"/>
          <w:color w:val="000000"/>
          <w:sz w:val="32"/>
        </w:rPr>
        <w:t>（二）保理业务切入建议</w:t>
      </w:r>
    </w:p>
    <w:p>
      <w:pPr>
        <w:spacing w:lineRule="exact" w:line="600" w:before="0" w:after="0"/>
        <w:ind w:firstLine="420"/>
        <w:jc w:val="both"/>
      </w:pPr>
      <w:r>
        <w:rPr>
          <w:rFonts w:ascii="仿宋_GB2312" w:hAnsi="仿宋_GB2312" w:eastAsia="仿宋_GB2312"/>
          <w:b w:val="0"/>
          <w:color w:val="000000"/>
          <w:sz w:val="32"/>
        </w:rPr>
        <w:t>若企业下游客户为钢铁、冶金、建材等行业的规模以上企业或上市公司，其应收账款具备开展保理业务的基础。建议采取"有追索权保理"模式，严格执行应收账款确权程序（要求债务人书面确认应收账款真实性、金额与付款期限），并将融资比例控制在应收账款金额的适度水平。优先选择债务人为大型国有钢铁企业或上市公司的应收账款作为基础资产，此类资产的回款确定性最高。同时应通过发票、出库单、验收单等贸易单据核验交易真实性，防范虚构应收账款风险。</w:t>
      </w:r>
    </w:p>
    <w:p>
      <w:pPr>
        <w:spacing w:lineRule="exact" w:line="600" w:before="120" w:after="120"/>
        <w:ind w:firstLine="420"/>
        <w:jc w:val="left"/>
      </w:pPr>
      <w:r>
        <w:rPr>
          <w:rFonts w:ascii="楷体_GB2312" w:hAnsi="楷体_GB2312" w:eastAsia="楷体_GB2312"/>
          <w:b w:val="0"/>
          <w:color w:val="000000"/>
          <w:sz w:val="32"/>
        </w:rPr>
        <w:t>（三）供应链金融切入建议</w:t>
      </w:r>
    </w:p>
    <w:p>
      <w:pPr>
        <w:spacing w:lineRule="exact" w:line="600" w:before="0" w:after="0"/>
        <w:ind w:firstLine="420"/>
        <w:jc w:val="both"/>
      </w:pPr>
      <w:r>
        <w:rPr>
          <w:rFonts w:ascii="仿宋_GB2312" w:hAnsi="仿宋_GB2312" w:eastAsia="仿宋_GB2312"/>
          <w:b w:val="0"/>
          <w:color w:val="000000"/>
          <w:sz w:val="32"/>
        </w:rPr>
        <w:t>这是服务此类小微企业最具可行性的路径。公司下游客户涵盖石油、化工、冶金、电力、建材等行业的窑炉业主与工程承包商，上游为本地焦宝石与耐材原料供应商，处于产业链中游。建议山东投资以周村新材料产业聚集区内的龙头企业（如山东耐材集团、八三石墨、大陆石墨等）以及下游大型钢铁冶金企业为核心企业，搭建供应链金融平台，将本企业作为核心企业上游供应商或下游经销商纳入服务范围。通过核心企业的信用穿透与交易数据确权，可在不依赖小微企业自身信用的前提下实现低风险融资投放，这既解决了小微企业"缺信用、缺抵押、缺报表"的融资难题，也保障了资金方的风险可控。</w:t>
      </w:r>
    </w:p>
    <w:p>
      <w:pPr>
        <w:spacing w:lineRule="exact" w:line="600" w:before="120" w:after="120"/>
        <w:ind w:firstLine="420"/>
        <w:jc w:val="left"/>
      </w:pPr>
      <w:r>
        <w:rPr>
          <w:rFonts w:ascii="楷体_GB2312" w:hAnsi="楷体_GB2312" w:eastAsia="楷体_GB2312"/>
          <w:b w:val="0"/>
          <w:color w:val="000000"/>
          <w:sz w:val="32"/>
        </w:rPr>
        <w:t>（四）融资租赁切入建议</w:t>
      </w:r>
    </w:p>
    <w:p>
      <w:pPr>
        <w:spacing w:lineRule="exact" w:line="600" w:before="0" w:after="0"/>
        <w:ind w:firstLine="420"/>
        <w:jc w:val="both"/>
      </w:pPr>
      <w:r>
        <w:rPr>
          <w:rFonts w:ascii="仿宋_GB2312" w:hAnsi="仿宋_GB2312" w:eastAsia="仿宋_GB2312"/>
          <w:b w:val="0"/>
          <w:color w:val="000000"/>
          <w:sz w:val="32"/>
        </w:rPr>
        <w:t>矿物功能新材料与耐火材料生产属于设备密集型行业，涉及窑炉、熔炼与甩丝设备、真空成型设备、压制成型机、破碎研磨设备、除尘环保装置等，设备价值明确、通用性较好、二手市场存在，具备开展融资租赁的物权基础。建议采用"直接租赁"支持企业的设备更新与技改升级——这与周村区推动耐材产业向高质高端、绿色低碳转型的政策方向高度契合，属于政策鼓励的融资方向。对已有成套设备的企业，可考虑"售后回租"盘活存量资产，但须严格评估设备权属清晰性、是否已设定其他担保物权，并办理必要的登记手续。租期建议控制在3年以内，租金支付节奏匹配企业经营现金流。</w:t>
      </w:r>
    </w:p>
    <w:p>
      <w:pPr>
        <w:spacing w:lineRule="exact" w:line="600" w:before="120" w:after="120"/>
        <w:ind w:firstLine="420"/>
        <w:jc w:val="left"/>
      </w:pPr>
      <w:r>
        <w:rPr>
          <w:rFonts w:ascii="楷体_GB2312" w:hAnsi="楷体_GB2312" w:eastAsia="楷体_GB2312"/>
          <w:b w:val="0"/>
          <w:color w:val="000000"/>
          <w:sz w:val="32"/>
        </w:rPr>
        <w:t>（五）小额贷款业务切入建议</w:t>
      </w:r>
    </w:p>
    <w:p>
      <w:pPr>
        <w:spacing w:lineRule="exact" w:line="600" w:before="0" w:after="0"/>
        <w:ind w:firstLine="420"/>
        <w:jc w:val="both"/>
      </w:pPr>
      <w:r>
        <w:rPr>
          <w:rFonts w:ascii="仿宋_GB2312" w:hAnsi="仿宋_GB2312" w:eastAsia="仿宋_GB2312"/>
          <w:b w:val="0"/>
          <w:color w:val="000000"/>
          <w:sz w:val="32"/>
        </w:rPr>
        <w:t>小额贷款是与此类企业规模最为匹配的产品形态。建议设计"小额、短期、高频、数据驱动"的产品：一是额度控制在与企业年销售规模、纳税额相匹配的合理区间；二是期限以6—12个月为主，匹配其原料采购与货款回笼周期；三是风控上重点采用"税务数据＋发票数据＋用电用气数据＋银行流水＋实际控制人征信"的多维交叉验证，弥补财务报表缺失的信息劣势；四是要求实际控制人及其配偶提供连带责任保证担保，这在自然人独资企业中是必要的风险缓释措施；五是可探索与周村区政府性融资担保机构合作，通过"银政担"模式分散风险。</w:t>
      </w:r>
    </w:p>
    <w:p>
      <w:pPr>
        <w:spacing w:lineRule="exact" w:line="600" w:before="120" w:after="120"/>
        <w:ind w:firstLine="420"/>
        <w:jc w:val="left"/>
      </w:pPr>
      <w:r>
        <w:rPr>
          <w:rFonts w:ascii="楷体_GB2312" w:hAnsi="楷体_GB2312" w:eastAsia="楷体_GB2312"/>
          <w:b w:val="0"/>
          <w:color w:val="000000"/>
          <w:sz w:val="32"/>
        </w:rPr>
        <w:t>（六）综合协同建议</w:t>
      </w:r>
    </w:p>
    <w:p>
      <w:pPr>
        <w:spacing w:lineRule="exact" w:line="600" w:before="0" w:after="0"/>
        <w:ind w:firstLine="420"/>
        <w:jc w:val="both"/>
      </w:pPr>
      <w:r>
        <w:rPr>
          <w:rFonts w:ascii="仿宋_GB2312" w:hAnsi="仿宋_GB2312" w:eastAsia="仿宋_GB2312"/>
          <w:b w:val="0"/>
          <w:color w:val="000000"/>
          <w:sz w:val="32"/>
        </w:rPr>
        <w:t>建议山东投资对本企业采取"审慎准入、小额试水、数据积累、逐步加码"的策略。第一阶段以小额贷款或核心企业确权下的供应链融资切入，额度控制在低风险敞口范围内，通过实际业务积累企业的真实经营数据；第二阶段在验证其经营稳定性与还款意愿后，逐步引入融资租赁支持其设备升级；第三阶段视其成长为高新技术企业、专精特新企业的情况，考虑更深层次的合作。同时建议将服务视野从单一企业扩展到整个周村新材料产业聚集区，以"集群批量授信＋核心企业增信＋政府性担保"的组合模式，实现规模化、标准化的普惠金融服务，这既符合国家支持中小企业特色产业集群发展的政策导向，也是控制单户风险、分散组合风险的有效方式。</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淄博同发耐火保温材料有限公司是一家成立于2007年、注册资本1,000万元、由自然人孙柯全资持有的小微制造企业，主营硅酸铝/陶瓷纤维系列保温隔热材料，并具备窑炉设计安装施工的经营资格。公司持续经营十八年，登记状态存续，未见公开的重大负面记录，在陶瓷纤维保温材料细分领域具有一定的经验积累与产品线基础。</w:t>
      </w:r>
    </w:p>
    <w:p>
      <w:pPr>
        <w:spacing w:lineRule="exact" w:line="600" w:before="0" w:after="0"/>
        <w:ind w:firstLine="420"/>
        <w:jc w:val="both"/>
      </w:pPr>
      <w:r>
        <w:rPr>
          <w:rFonts w:ascii="仿宋_GB2312" w:hAnsi="仿宋_GB2312" w:eastAsia="仿宋_GB2312"/>
          <w:b w:val="0"/>
          <w:color w:val="000000"/>
          <w:sz w:val="32"/>
        </w:rPr>
        <w:t>公司的突出问题在于信息透明度低与信息一致性差：财务数据完全未公开披露；自述产能与工商公示的企业规模严重不匹配；注册地与经营地分离。这三点使得基于公开信息的信用评估无法得出可靠结论。</w:t>
      </w:r>
    </w:p>
    <w:p>
      <w:pPr>
        <w:spacing w:lineRule="exact" w:line="600" w:before="0" w:after="0"/>
        <w:ind w:firstLine="420"/>
        <w:jc w:val="both"/>
      </w:pPr>
      <w:r>
        <w:rPr>
          <w:rFonts w:ascii="仿宋_GB2312" w:hAnsi="仿宋_GB2312" w:eastAsia="仿宋_GB2312"/>
          <w:b w:val="0"/>
          <w:color w:val="000000"/>
          <w:sz w:val="32"/>
        </w:rPr>
        <w:t>总体评价：公司属于"经营历史较长但信息高度不透明的小微企业"，在完成充分的实地尽职调查之前，不具备开展实质性授信业务的条件。其潜在价值在于所处赛道（工业节能保温材料）符合国家节能降碳的长期政策方向，且所在集群（周村新材料产业聚集区）获得省级、国家级平台认定，产业环境良好。</w:t>
      </w:r>
    </w:p>
    <w:p>
      <w:pPr>
        <w:spacing w:lineRule="exact" w:line="600" w:before="120" w:after="120"/>
        <w:ind w:firstLine="420"/>
        <w:jc w:val="left"/>
      </w:pPr>
      <w:r>
        <w:rPr>
          <w:rFonts w:ascii="楷体_GB2312" w:hAnsi="楷体_GB2312" w:eastAsia="楷体_GB2312"/>
          <w:b w:val="0"/>
          <w:color w:val="000000"/>
          <w:sz w:val="32"/>
        </w:rPr>
        <w:t>（二）未来发展展望</w:t>
      </w:r>
    </w:p>
    <w:p>
      <w:pPr>
        <w:spacing w:lineRule="exact" w:line="600" w:before="0" w:after="0"/>
        <w:ind w:firstLine="420"/>
        <w:jc w:val="both"/>
      </w:pPr>
      <w:r>
        <w:rPr>
          <w:rFonts w:ascii="仿宋_GB2312" w:hAnsi="仿宋_GB2312" w:eastAsia="仿宋_GB2312"/>
          <w:b w:val="0"/>
          <w:color w:val="000000"/>
          <w:sz w:val="32"/>
        </w:rPr>
        <w:t>据周村区公开的产业规划，王村镇近期目标（2021—2025年）为"百亿级高温新材料产业链初步形成"，远期（2026—2035年）打造"绿色发展的产业强镇"。园区确立了"1+3+N"发展战略，重点发展铝硅系耐火材料、无机非金属新材料、高纯氧化物特种陶瓷制品、冶金功能材料等方向。这为公司提供了明确的产业升级路径与政策支持环境。</w:t>
      </w:r>
    </w:p>
    <w:p>
      <w:pPr>
        <w:spacing w:lineRule="exact" w:line="600" w:before="0" w:after="0"/>
        <w:ind w:firstLine="420"/>
        <w:jc w:val="both"/>
      </w:pPr>
      <w:r>
        <w:rPr>
          <w:rFonts w:ascii="仿宋_GB2312" w:hAnsi="仿宋_GB2312" w:eastAsia="仿宋_GB2312"/>
          <w:b w:val="0"/>
          <w:color w:val="000000"/>
          <w:sz w:val="32"/>
        </w:rPr>
        <w:t>对公司而言，可能的发展方向包括：向高纯、高铝、晶体氧化铝纤维等高端产品升级（公司自述已有晶体氧化铝纤维生产线）；从材料供应向窑炉整体解决方案延伸；依托线上B2B渠道拓展出口业务。以上属基于公开产业信息的方向性判断，本报告不对公司具体经营成果作预测。</w:t>
      </w:r>
    </w:p>
    <w:p>
      <w:pPr>
        <w:spacing w:lineRule="exact" w:line="600" w:before="120" w:after="120"/>
        <w:ind w:firstLine="420"/>
        <w:jc w:val="left"/>
      </w:pPr>
      <w:r>
        <w:rPr>
          <w:rFonts w:ascii="楷体_GB2312" w:hAnsi="楷体_GB2312" w:eastAsia="楷体_GB2312"/>
          <w:b w:val="0"/>
          <w:color w:val="000000"/>
          <w:sz w:val="32"/>
        </w:rPr>
        <w:t>（三）面临的挑战</w:t>
      </w:r>
    </w:p>
    <w:p>
      <w:pPr>
        <w:spacing w:lineRule="exact" w:line="600" w:before="0" w:after="0"/>
        <w:ind w:firstLine="420"/>
        <w:jc w:val="both"/>
      </w:pPr>
      <w:r>
        <w:rPr>
          <w:rFonts w:ascii="仿宋_GB2312" w:hAnsi="仿宋_GB2312" w:eastAsia="仿宋_GB2312"/>
          <w:b w:val="0"/>
          <w:color w:val="000000"/>
          <w:sz w:val="32"/>
        </w:rPr>
        <w:t>一是规模瓶颈。小微企业身份限制了其承接大项目、参与大客户供应商体系的能力。二是转型升级的资金压力。向高端产品与解决方案转型需要持续的设备与研发投入，而小微企业自有资金有限、外部融资困难。三是环保与合规的持续压力。周村区对耐材行业的整治是长期政策，不达标企业将被淘汰。四是规范化经营的挑战。包括用工规范、财务规范、信息披露规范，这些是其获得金融支持的前提条件。</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结论：公司具备一定的行业积累与区位优势，但规模弱小、信息不透明、关键信息存在矛盾，当前不具备直接授信条件，需以实地尽职调查结论为准。</w:t>
      </w:r>
    </w:p>
    <w:p>
      <w:pPr>
        <w:spacing w:lineRule="exact" w:line="600" w:before="0" w:after="0"/>
        <w:ind w:firstLine="420"/>
        <w:jc w:val="both"/>
      </w:pPr>
      <w:r>
        <w:rPr>
          <w:rFonts w:ascii="仿宋_GB2312" w:hAnsi="仿宋_GB2312" w:eastAsia="仿宋_GB2312"/>
          <w:b w:val="0"/>
          <w:color w:val="000000"/>
          <w:sz w:val="32"/>
        </w:rPr>
        <w:t>对企业的建议：一是尽快提升经营规范化水平，建立规范的财务核算体系并考虑聘请会计师事务所审计，这是获得金融支持的基础；二是规范用工与社保缴纳，消除潜在合规风险；三是澄清并统一对外披露的企业信息，避免宣传口径与登记信息的冲突损害企业信誉；四是积极申报高新技术企业、科技型中小企业、专精特新等资质，既可享受政策优惠，也能为融资增信；五是主动融入周村新材料产业聚集区，争取入园并享受园区配套政策。</w:t>
      </w:r>
    </w:p>
    <w:p>
      <w:pPr>
        <w:spacing w:lineRule="exact" w:line="600" w:before="0" w:after="0"/>
        <w:ind w:firstLine="420"/>
        <w:jc w:val="both"/>
      </w:pPr>
      <w:r>
        <w:rPr>
          <w:rFonts w:ascii="仿宋_GB2312" w:hAnsi="仿宋_GB2312" w:eastAsia="仿宋_GB2312"/>
          <w:b w:val="0"/>
          <w:color w:val="000000"/>
          <w:sz w:val="32"/>
        </w:rPr>
        <w:t>对山东投资的建议：一是暂不将本企业列入主动营销名单，如企业主动申请，则以实地尽调为前置条件；二是尽调核心是"三查"——查真实生产场所与设备、查用电用气数据倒推产能、查税务与银行流水验证收入；三是若尽调结论正面，建议以小额贷款或供应链融资小额切入，并要求实际控制人夫妻连带担保；四是更优的服务路径是将其纳入以周村园区龙头企业为核心的供应链金融体系，通过核心企业信用穿透降低风险；五是持续跟踪其是否入驻园区、是否取得高新技术企业等资质，将其作为信用改善的观察指标。</w:t>
      </w:r>
    </w:p>
    <w:p>
      <w:pPr>
        <w:spacing w:lineRule="exact" w:line="600" w:before="120" w:after="120"/>
        <w:ind w:firstLine="420"/>
        <w:jc w:val="left"/>
      </w:pPr>
      <w:r>
        <w:rPr>
          <w:rFonts w:ascii="黑体" w:hAnsi="黑体" w:eastAsia="黑体"/>
          <w:b w:val="0"/>
          <w:color w:val="000000"/>
          <w:sz w:val="32"/>
        </w:rPr>
        <w:t>九、集群背景补充</w:t>
      </w:r>
    </w:p>
    <w:p>
      <w:pPr>
        <w:spacing w:lineRule="exact" w:line="600" w:before="120" w:after="120"/>
        <w:ind w:firstLine="420"/>
        <w:jc w:val="left"/>
      </w:pPr>
      <w:r>
        <w:rPr>
          <w:rFonts w:ascii="楷体_GB2312" w:hAnsi="楷体_GB2312" w:eastAsia="楷体_GB2312"/>
          <w:b w:val="0"/>
          <w:color w:val="000000"/>
          <w:sz w:val="32"/>
        </w:rPr>
        <w:t>（一）集群基本情况</w:t>
      </w:r>
    </w:p>
    <w:p>
      <w:pPr>
        <w:spacing w:lineRule="exact" w:line="600" w:before="0" w:after="0"/>
        <w:ind w:firstLine="420"/>
        <w:jc w:val="both"/>
      </w:pPr>
      <w:r>
        <w:rPr>
          <w:rFonts w:ascii="仿宋_GB2312" w:hAnsi="仿宋_GB2312" w:eastAsia="仿宋_GB2312"/>
          <w:b w:val="0"/>
          <w:color w:val="000000"/>
          <w:sz w:val="32"/>
        </w:rPr>
        <w:t>"山东淄博周村区(矿物功能新材料)特色产业集群"的核心载体为周村新材料产业聚集区。据周村区人民政府公开文件，2017年6月9日，淄博市委、市政府为科学调整全市耐火材料产业布局，决定在周村区、淄川区、博山区分别高标准规划建设三个新型耐火材料产业创新示范园区，并结合王村镇被列为省级焦宝石特色小镇的契机，在王村镇设立周村新材料产业聚集区。园区四至范围为北至泉王路、南至胶王路、西至宝山路、东至张古村东侧南北线，规划面积3,560亩。</w:t>
      </w:r>
    </w:p>
    <w:p>
      <w:pPr>
        <w:spacing w:lineRule="exact" w:line="600" w:before="0" w:after="0"/>
        <w:ind w:firstLine="420"/>
        <w:jc w:val="both"/>
      </w:pPr>
      <w:r>
        <w:rPr>
          <w:rFonts w:ascii="仿宋_GB2312" w:hAnsi="仿宋_GB2312" w:eastAsia="仿宋_GB2312"/>
          <w:b w:val="0"/>
          <w:color w:val="000000"/>
          <w:sz w:val="32"/>
        </w:rPr>
        <w:t>园区产业定位为：重点发展铝硅系耐火材料、无机非金属新材料、高纯氧化物特种陶瓷制品、冶金功能材料、功能陶瓷、纯净钢用高级耐火材料、先进机械装备制造等产业。基础设施建设包括园区"九通一平"（道路、热力、天然气、电力、自来水、通信、雨水、污水、通讯、土地平整），以及标准厂房、综合办公楼、科技信息服务中心等公共配套服务设施共64.5万平方米，计划总投资11.17亿元，采用PPP模式建设。</w:t>
      </w:r>
    </w:p>
    <w:p>
      <w:pPr>
        <w:spacing w:lineRule="exact" w:line="600" w:before="0" w:after="0"/>
        <w:ind w:firstLine="420"/>
        <w:jc w:val="both"/>
      </w:pPr>
      <w:r>
        <w:rPr>
          <w:rFonts w:ascii="仿宋_GB2312" w:hAnsi="仿宋_GB2312" w:eastAsia="仿宋_GB2312"/>
          <w:b w:val="0"/>
          <w:color w:val="000000"/>
          <w:sz w:val="32"/>
        </w:rPr>
        <w:t>园区先后被认定为中国建材联合会无机非新材料产业示范基地（全国无机非新材料产业基地）、山东省高温新材料特色产业集群、山东省矿物功能新材料特色产业集群，是周村区新材料产业转型升级的重要平台。园区确立了"1+3+N"发展战略，着力打造无机非金属、装配式建筑、复合新材料三个产业链板块。</w:t>
      </w:r>
    </w:p>
    <w:p>
      <w:pPr>
        <w:spacing w:lineRule="exact" w:line="600" w:before="120" w:after="120"/>
        <w:ind w:firstLine="420"/>
        <w:jc w:val="left"/>
      </w:pPr>
      <w:r>
        <w:rPr>
          <w:rFonts w:ascii="楷体_GB2312" w:hAnsi="楷体_GB2312" w:eastAsia="楷体_GB2312"/>
          <w:b w:val="0"/>
          <w:color w:val="000000"/>
          <w:sz w:val="32"/>
        </w:rPr>
        <w:t>（二）集群产业基础与发展态势</w:t>
      </w:r>
    </w:p>
    <w:p>
      <w:pPr>
        <w:spacing w:lineRule="exact" w:line="600" w:before="0" w:after="0"/>
        <w:ind w:firstLine="420"/>
        <w:jc w:val="both"/>
      </w:pPr>
      <w:r>
        <w:rPr>
          <w:rFonts w:ascii="仿宋_GB2312" w:hAnsi="仿宋_GB2312" w:eastAsia="仿宋_GB2312"/>
          <w:b w:val="0"/>
          <w:color w:val="000000"/>
          <w:sz w:val="32"/>
        </w:rPr>
        <w:t>王村镇是周村区的传统工业重镇，因矿产资源（焦宝石）丰富，成为全国重要的焦宝石与耐材产业基地。上世纪80年代，镇域内小散耐材企业遍地开花，生产模式基本为"挖出矿就烧，烧成砖就卖"，产品以普通粘土砖、高铝砖等低端品种为主，一吨只能卖几百元。此后周村区大力整治小散耐材企业，加快设备升级改造，引导节能减排，推动耐材产业向高质高端、绿色低碳转型。</w:t>
      </w:r>
    </w:p>
    <w:p>
      <w:pPr>
        <w:spacing w:lineRule="exact" w:line="600" w:before="0" w:after="0"/>
        <w:ind w:firstLine="420"/>
        <w:jc w:val="both"/>
      </w:pPr>
      <w:r>
        <w:rPr>
          <w:rFonts w:ascii="仿宋_GB2312" w:hAnsi="仿宋_GB2312" w:eastAsia="仿宋_GB2312"/>
          <w:b w:val="0"/>
          <w:color w:val="000000"/>
          <w:sz w:val="32"/>
        </w:rPr>
        <w:t>目前王村镇已构建起集矿石开采、焦宝石煅烧、耐材制造于一体的绿色低碳耐材产业链，在全镇工业经济中占比接近80%。创新资源方面，据周村区政府公开答复，王村镇拥有新三板挂牌企业1家、高新技术企业7家、市级工程实验室企业6家、市级企业技术中心5家、省级企业技术中心2家。</w:t>
      </w:r>
    </w:p>
    <w:p>
      <w:pPr>
        <w:spacing w:lineRule="exact" w:line="600" w:before="0" w:after="0"/>
        <w:ind w:firstLine="420"/>
        <w:jc w:val="both"/>
      </w:pPr>
      <w:r>
        <w:rPr>
          <w:rFonts w:ascii="仿宋_GB2312" w:hAnsi="仿宋_GB2312" w:eastAsia="仿宋_GB2312"/>
          <w:b w:val="0"/>
          <w:color w:val="000000"/>
          <w:sz w:val="32"/>
        </w:rPr>
        <w:t>按《淄博市周村区王村镇国土空间规划（2021—2035年）》，王村镇的城镇性质被确定为"济淄同城化的桥头堡，新材料产业强镇、中国历史文化名镇"；近期目标（2021—2025年）为"百亿级高温新材料产业链初步形成，全力冲刺全市综合实力十强镇"。集群龙头与重点企业包括山东耐材集团（山耐集团）、八三石墨、大陆石墨、乐凡新材料（年产20万吨精密铸造砂技改项目）、嘉岳铝硅新材料、联强远大装配式建筑等。同时，石墨深加工、氢能、商用车再制造等新赛道已占据全镇产业的半壁江山。</w:t>
      </w:r>
    </w:p>
    <w:p>
      <w:pPr>
        <w:spacing w:lineRule="exact" w:line="600" w:before="120" w:after="120"/>
        <w:ind w:firstLine="420"/>
        <w:jc w:val="left"/>
      </w:pPr>
      <w:r>
        <w:rPr>
          <w:rFonts w:ascii="黑体" w:hAnsi="黑体" w:eastAsia="黑体"/>
          <w:b w:val="0"/>
          <w:color w:val="000000"/>
          <w:sz w:val="32"/>
        </w:rPr>
        <w:t>十、数据来源说明</w:t>
      </w:r>
    </w:p>
    <w:p>
      <w:pPr>
        <w:spacing w:lineRule="exact" w:line="600" w:before="0" w:after="0"/>
        <w:ind w:firstLine="420"/>
        <w:jc w:val="both"/>
      </w:pPr>
      <w:r>
        <w:rPr>
          <w:rFonts w:ascii="仿宋_GB2312" w:hAnsi="仿宋_GB2312" w:eastAsia="仿宋_GB2312"/>
          <w:b w:val="0"/>
          <w:color w:val="000000"/>
          <w:sz w:val="32"/>
        </w:rPr>
        <w:t>1. 天眼查淄博同发耐火保温材料有限公司工商登记与企业基础信息（统一社会信用代码91370306665743167J）。</w:t>
      </w:r>
    </w:p>
    <w:p>
      <w:pPr>
        <w:spacing w:lineRule="exact" w:line="600" w:before="0" w:after="0"/>
        <w:ind w:firstLine="420"/>
        <w:jc w:val="both"/>
      </w:pPr>
      <w:r>
        <w:rPr>
          <w:rFonts w:ascii="仿宋_GB2312" w:hAnsi="仿宋_GB2312" w:eastAsia="仿宋_GB2312"/>
          <w:b w:val="0"/>
          <w:color w:val="000000"/>
          <w:sz w:val="32"/>
        </w:rPr>
        <w:t>2. 中国制造网（made-in-china.com）淄博同发耐火保温材料有限公司诚信档案与企业认证信息。</w:t>
      </w:r>
    </w:p>
    <w:p>
      <w:pPr>
        <w:spacing w:lineRule="exact" w:line="600" w:before="0" w:after="0"/>
        <w:ind w:firstLine="420"/>
        <w:jc w:val="both"/>
      </w:pPr>
      <w:r>
        <w:rPr>
          <w:rFonts w:ascii="仿宋_GB2312" w:hAnsi="仿宋_GB2312" w:eastAsia="仿宋_GB2312"/>
          <w:b w:val="0"/>
          <w:color w:val="000000"/>
          <w:sz w:val="32"/>
        </w:rPr>
        <w:t>3. 工业品平台（fs.m2.com.cn）淄博同发耐火保温材料有限公司企业概况自述资料。</w:t>
      </w:r>
    </w:p>
    <w:p>
      <w:pPr>
        <w:spacing w:lineRule="exact" w:line="600" w:before="0" w:after="0"/>
        <w:ind w:firstLine="420"/>
        <w:jc w:val="both"/>
      </w:pPr>
      <w:r>
        <w:rPr>
          <w:rFonts w:ascii="仿宋_GB2312" w:hAnsi="仿宋_GB2312" w:eastAsia="仿宋_GB2312"/>
          <w:b w:val="0"/>
          <w:color w:val="000000"/>
          <w:sz w:val="32"/>
        </w:rPr>
        <w:t>4. 淄博市周村区人民政府官网《对区政协第十三届五次会议第135096号提案的答复》（关于加快王村发展尽快融入济淄同城化的建议）。</w:t>
      </w:r>
    </w:p>
    <w:p>
      <w:pPr>
        <w:spacing w:lineRule="exact" w:line="600" w:before="0" w:after="0"/>
        <w:ind w:firstLine="420"/>
        <w:jc w:val="both"/>
      </w:pPr>
      <w:r>
        <w:rPr>
          <w:rFonts w:ascii="仿宋_GB2312" w:hAnsi="仿宋_GB2312" w:eastAsia="仿宋_GB2312"/>
          <w:b w:val="0"/>
          <w:color w:val="000000"/>
          <w:sz w:val="32"/>
        </w:rPr>
        <w:t>5. 淄博市周村区人民政府官网《周村新材料产业聚集区面向公众征求意见》。</w:t>
      </w:r>
    </w:p>
    <w:p>
      <w:pPr>
        <w:spacing w:lineRule="exact" w:line="600" w:before="0" w:after="0"/>
        <w:ind w:firstLine="420"/>
        <w:jc w:val="both"/>
      </w:pPr>
      <w:r>
        <w:rPr>
          <w:rFonts w:ascii="仿宋_GB2312" w:hAnsi="仿宋_GB2312" w:eastAsia="仿宋_GB2312"/>
          <w:b w:val="0"/>
          <w:color w:val="000000"/>
          <w:sz w:val="32"/>
        </w:rPr>
        <w:t>6. 淄博市自然资源局《〈淄博市周村区王村镇国土空间规划（2021—2035年）〉批后公布》（2024年12月9日）。</w:t>
      </w:r>
    </w:p>
    <w:p>
      <w:pPr>
        <w:spacing w:lineRule="exact" w:line="600" w:before="0" w:after="0"/>
        <w:ind w:firstLine="420"/>
        <w:jc w:val="both"/>
      </w:pPr>
      <w:r>
        <w:rPr>
          <w:rFonts w:ascii="仿宋_GB2312" w:hAnsi="仿宋_GB2312" w:eastAsia="仿宋_GB2312"/>
          <w:b w:val="0"/>
          <w:color w:val="000000"/>
          <w:sz w:val="32"/>
        </w:rPr>
        <w:t>7. 经济日报《山东淄博周村区：产业转型铺展"镇"兴之路》。</w:t>
      </w:r>
    </w:p>
    <w:p>
      <w:pPr>
        <w:spacing w:lineRule="exact" w:line="600" w:before="0" w:after="0"/>
        <w:ind w:firstLine="420"/>
        <w:jc w:val="both"/>
      </w:pPr>
      <w:r>
        <w:rPr>
          <w:rFonts w:ascii="仿宋_GB2312" w:hAnsi="仿宋_GB2312" w:eastAsia="仿宋_GB2312"/>
          <w:b w:val="0"/>
          <w:color w:val="000000"/>
          <w:sz w:val="32"/>
        </w:rPr>
        <w:t>8. 大众日报《从"老耐材"到"新材料"：一个小镇的产业蜕变与跃迁》。</w:t>
      </w:r>
    </w:p>
    <w:p>
      <w:pPr>
        <w:spacing w:lineRule="exact" w:line="600" w:before="0" w:after="0"/>
        <w:ind w:firstLine="420"/>
        <w:jc w:val="both"/>
      </w:pPr>
      <w:r>
        <w:rPr>
          <w:rFonts w:ascii="仿宋_GB2312" w:hAnsi="仿宋_GB2312" w:eastAsia="仿宋_GB2312"/>
          <w:b w:val="0"/>
          <w:color w:val="000000"/>
          <w:sz w:val="32"/>
        </w:rPr>
        <w:t>9. 公司官方网站 http://www.zbtongfa.com。</w:t>
      </w:r>
    </w:p>
    <w:p>
      <w:pPr>
        <w:spacing w:lineRule="exact" w:line="600" w:before="0" w:after="0"/>
        <w:jc w:val="left"/>
      </w:pPr>
      <w:r>
        <w:rPr>
          <w:rFonts w:ascii="仿宋_GB2312" w:hAnsi="仿宋_GB2312" w:eastAsia="仿宋_GB2312"/>
          <w:b w:val="0"/>
          <w:color w:val="000000"/>
          <w:sz w:val="28"/>
        </w:rPr>
        <w:t>（说明：本报告涉及的工商信息以市场监督管理部门登记公示内容为准；企业在商务平台的自述性产能与业绩描述未经独立核实，报告中已明确标注来源属性；非上市企业财务数据未公开披露，本报告不作数字推测。报告结论供内部投融资决策参考，不构成投资建议。）</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