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山东淄博周村（不锈钢深加工）特色产业集群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山东世纪正华金属科技有限公司企业分析报告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买购网/品牌网、企知道、企查查及公司官网公开信息，统计时点截至2025年公开披露信息。山东世纪正华金属科技有限公司为非上市民营企业（山东新世纪不锈钢集团成员），经审计财务数据未公开披露，报告中引用数据均来自公开工商与官网资料，已在对应位置标注来源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世纪正华金属科技有限公司（简称"世纪正华"）隶属于山东新世纪不锈钢集团，是以不锈钢精细化加工制造、不锈钢新材料研发为核心的专业化制造企业。公司成立于2018年9月29日（工商登记；官网称始建于2005年），统一社会信用代码为91370306MA3NB03W4Q，法定代表人为王华，注册资本5,000万元人民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类型为有限责任公司（自然人投资或控股），注册地址为山东省淄博市周村区南郊镇吴家工业园路以东500米路北。人员规模50—99人（参保79人），被标注为小微企业、高新技术企业、省级专精特新企业、省级瞪羚企业。股东结构：自然人王华持股约67.56%（企知道口径），广州市瀚柏金属科技有限公司持股约32.44%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公司设执行董事兼总经理（王华）、监事等，作为新世纪不锈钢集团的核心加工制造平台，与集团贸易、电商、金融板块协同。内部按横剪、纵剪、激光切割、表面处理等工序组织生产。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始建于2005年（官网口径），2018年完成工商登记（世纪正华主体）。位于周村区南郊镇吴家工业园，总占地面积约40,000平方米。2023年5月，二期精细深加工建成投产，进一步扩充加工服务范围，助力周村区千亿级不锈钢产业园建设。公司先后获"专精特新企业""中国不锈钢贸易30强""中国不锈钢风向标"等荣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定位：长江以北及东北三省区域最大的不锈钢加工制造企业之一，提供大体量、高标准、精细化金属加工服务。主营业务：有色金属压延加工、新材料技术研发、金属切削加工、高性能有色金属及合金材料销售、金属材料制造与销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加工服务涵盖横剪、纵剪、激光切割、剪、折、弯、冲、压花、表面处理等全流程工艺，可承揽不锈钢、铝板、钛板、镍板、碳钢板、镀锌板、彩钢板等金属全系列加工。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（五）行业背景与区域集群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属深加工（不锈钢及有色金属压延加工）行业属钢铁/有色产业链中游，上游为钢厂冷热轧原料与镍、铬、铝等原材料，下游覆盖建筑装饰、化工装备、食品机械、医疗器械、交通及绿色建筑等。我国是不锈钢与有色金属产消第一大国，但近年受镍价波动与地产、制造业需求分化影响，行业利润承压，趋势是从普材贸易向精密加工、从分散经营向园区化平台化升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淄博周村是"中国江北不锈钢市场"，以天河不锈钢市场为核心的江北最大集散地，集聚贸易、加工、仓储、物流企业数百家，并被纳入淄博"千亿级不锈钢产业园"规划，推动深加工、电商、供应链金融一体化。集群的货源、设备、物流与客商集聚为区内加工企业规模化与降本提供土壤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世纪正华金属科技以年加工70万吨、仓储10万吨的大体量精密加工能力，位居周村集群加工制造龙头（长江以北及东北区域最大加工企业之一），并作为新世纪不锈钢集团的加工主体，与贸易、电商、金融板块协同，是集群"加工端"核心枢纽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政策与区域支持看，国家推动绿色建筑与装配式建筑发展，不锈钢在绿色建材、装配式围护系统的应用持续扩大；山东省支持淄博老工业城市转型，周村"千亿级不锈钢产业园"规划推动深加工、电商与供应链金融一体化升级；"双碳"背景下不锈钢循环利用与绿色制造受鼓励，为世纪正华（年加工70万吨）发挥集群加工龙头作用、提升精密加工附加值提供政策红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业务以金属加工服务为主（来料/代工+部分自营贸易），辅以新材料研发。因非上市财务未公开，未披露分业务收入。公司现具备年加工制造能力70万吨、仓储能力10万吨。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横剪：释放板材应力，表面平整，支持热轧超长超宽加工。2. 纵剪：最大分条30条，边丝宽度精准至2mm。3. 表面加工：引进荷兰沙霸带式湿法研磨，支持冷轧整卷油磨、热轧中厚板平板油磨，生产No3/No4/HL板材。4. 激光切割：大族G6025PRO-H12000、G15030LB-H40000超高功率切割机（欧系进口配置，2.0G加速度）。5. 其他：剪、折、弯、冲、压花及铝/钛/镍/碳钢/镀锌/彩钢板全系列加工。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客户为不锈钢及金属制品下游制造企业、工程总包、设备制造商，依托周村市场与集团渠道辐射江北及东北。作为区域最大加工商之一，客户结构多元。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原料（不锈钢卷板等）来自钢厂及集团贸易板块（新世纪），具体前五大供应商未公开。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占地约40,000平方米，年加工能力70万吨、仓储能力10万吨。持有高新技术企业、省级专精特新、省级瞪羚、绿色制造等资质，专利28件、商标6个（企知道口径）。二期2023年5月投产扩充产能。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渠道依托集团贸易与电商（拼钢网络）及自有加工服务能力，来料加工与产品直销结合，服务江北及东北市场。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：年加工制造能力70万吨、仓储10万吨，为长江以北及东北三省区域最大的不锈钢加工制造企业之一；获"中国不锈钢贸易30强""中国不锈钢风向标"。具体市占率未公开。2025年10月报道淄博不锈钢产业集群跻身全省"十强"，公司获益于集群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世纪正华金属科技有限公司为非上市民营企业，经审计单体财务报表未公开披露，无法提供近三年营业收入、净利润、毛利率、资产负债率、经营现金流净额等标准化指标。公开可得：注册资本5,000万元，人员50—99人（参保79人），年加工能力70万吨。上述非审计信息，使用时应予注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数据未公开。盈利来自加工费与新材研发，重资产加工模式毛利率中等，规模（70万吨）带来边际优势。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资产以加工设备（激光、纵剪、表面处理线）、厂房、存货为主，设备先进（大族超高功率激光等）。具体结构未公开。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财务数据未公开。重资产企业杠杆适中，融资以银行与集团内部为主。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现金流数据未公开。加工模式周转较快，但设备投资大。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对标周村同业，世纪正华以"70万吨加工能力+全系列金属加工+高新/专精特新"形成规模与技术双优势，是区域加工龙头。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民营有限责任公司，设执行董事兼总经理（王华）、监事，治理简洁。党组织按非公企业要求建立。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法定代表人、执行董事兼总经理为王华（持股约67.56%），为实际控制人。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建立加工质量管理体系，"匠工精神、精益求精"为核心价值观；高新技术企业体现研发与质量管理规范。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人员50—99人（参保79人），组建专业技术团队，具备专利28件，技术与技工储备较好。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规模领先：年加工70万吨、仓储10万吨，江北及东北区域最大加工商之一。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设备与技术：大族超高功率激光、荷兰沙霸表面处理、纵剪30条，全系列金属加工。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资质壁垒：高新技术企业、省级专精特新、瞪羚、绿色制造，专利28件。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集团协同：背靠新世纪不锈钢集团贸易/电商/金融网络。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5. 品牌：中国不锈钢贸易30强、风向标。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不锈钢及金属加工受下游制造业与价格波动影响。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加工产能过剩、价格竞争。2. 设备技术迭代快，需持续投入。3. 来料加工依赖上游供给。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财务数据未公开。重资产+扩张（二期）或致资金压力；应对措施为集团支持与设备融资。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加工涉及安全、环保（油磨废水废气）；应对措施为合规生产。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快速扩产对人才与管理提出要求。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公司重资产、扩产明确，金融协同场景突出：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融资租赁：为激光切割、纵剪、表面处理等高端设备提供融资租赁（最契合场景）。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供应链金融：围绕集团核心企业，为原材料采购提供存货质押与订单融资。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保理业务：针对加工应收账款开展保理。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小贷：为配套中小客户提供流动资金。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山东世纪正华是周村不锈钢集群的加工制造龙头，年加工70万吨、资质完备、设备先进，是新世纪集团一体化战略的核心产能支撑。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（二）未来发展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在周村千亿级不锈钢产业园与全省"十强"产业集群建设下，公司二期投产与高精尖设备投入将持续提升加工能级，向高端金属加工服务平台升级。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挑战来自加工竞争、设备迭代投入与资金占用。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总体判断：规模与技术双优、资质齐全，是山东投资在周村集群最契合"融资租赁+供应链金融"的协同标的。建议优先以高端加工设备融资租赁切入，辅以供应链金融与保理。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实际使用的公开来源包括：（1）天眼查企业工商信息（统一社会信用代码、成立2018-09-29、注册资本5000万、法人王华、参保79人、注册地址、经营范围、小微企业）；（2）买购网/品牌网（始建于2005、占地40000㎡、年加工70万吨、仓储10万吨、二期2023.5投产、专精特新/30强/风向标）；（3）企知道/企查查（高新技术企业、省级专精特新、瞪羚、专利28件、商标6个、股东结构）；（4）公司官网（加工中心工艺、设备清单、核心价值观）；（5）周村区政府公开信息（千亿级不锈钢产业园、全省十强）。审计财务数据未公开披露，相关财务章节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