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山东淄博周村（不锈钢深加工）特色产业集群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山东新世纪不锈钢有限公司企业分析报告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天眼查、爱企查、企信宝、赶集网企业简介及周村区政府公开信息，统计时点截至2025年公开披露信息。山东新世纪不锈钢有限公司为非上市民营企业，经审计财务数据未公开披露，报告中引用数据均来自公开工商与百科资料，已在对应位置标注来源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山东新世纪不锈钢有限公司是山东新世纪不锈钢集团的核心企业，成立于2007年6月13日，统一社会信用代码为913703066635315156，法定代表人为马文和，注册资本3,200万元人民币。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类型为有限责任公司（自然人投资或控股），注册地址为山东省淄博市周村区309国道天河不锈钢市场022号。人员规模小于50人（参保30人），被标注为小微企业、A级纳税人。股权结构为自然人持股：马文和50%、王金凤43.75%、杜国雷6.25%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系山东新世纪不锈钢集团成员。集团旗下有山东新世纪不锈钢有限公司、山东青拓世纪不锈钢有限责任公司、山东拼钢网络科技股份有限公司、山东世纪正华金属科技有限公司、山东华兴精工科技有限公司，已发展为以加工、贸易、仓储、金融、电商平台、产业园区一体化的专业集团公司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设执行董事（马文和）、经理（王金凤）、监事等岗位，作为集团核心贸易与加工主体，与集团内世纪正华（加工制造）、青拓世纪、拼钢网络（电商）、华兴精工协同，形成"加工—贸易—仓储—金融—电商—园区"一体化架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成立于2007年（百科称集团始于世纪之初2000年），注册于淄博市周村区。以"诚者为人，信者为商"文化起步，秉承"世纪不锈、恒久不锈"初心，深耕不锈钢加工贸易行业二十余载。历经发展，从单一贸易成长为涵盖加工、贸易、仓储、金融、电商平台、产业园区的集团化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战略定位：打造不锈钢加工贸易仓储金融电商产业园区一体化服务平台。主营业务：金属材料销售、金属制品销售、金属材料制造、仓储服务、货物及技术进出口、光伏发电与售电等。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公司深耕不锈钢加工贸易，依托周村"中国江北不锈钢市场"集群优势，业务覆盖不锈钢材切割、销售及制品、黑色金属、机电产品、五金建材等。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（五）行业背景与区域集群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不锈钢深加工行业属钢铁产业链中游，上游为镍、铬原材料及大型钢厂冷热轧原料，下游涵盖建筑装饰、化工设备、食品机械、医疗器械、交通及绿色建筑等领域。我国为全球最大不锈钢产销国，产量占全球过半；近年受镍价大幅波动、地产与制造业需求分化影响，行业利润承压，趋势是从普材贸易向精密加工与终端应用、从分散经营向园区化与平台化整合升级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淄博周村是"中国江北不锈钢市场"，形成以天河不锈钢市场为核心的江北最大集散地，集聚贸易、加工、仓储、物流企业数百家，并被纳入淄博"千亿级不锈钢产业园"规划，推动深加工、电商、绿色金融与供应链一体化。集群的货源、物流、客商与人才密度为区内企业降本增效与业务协同提供天然土壤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新世纪不锈钢以集团化"加工+贸易+仓储+金融+电商+园区"一体化模式立足周村集群，是集群内少有的平台化整合者；其电商平台（拼钢网络）与产业园区定位，既承接集群集散红利，又通过数字化与金融服务反哺中小配套商，在集群中扮演"链主+平台"角色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政策与区域支持看，国家推动绿色建筑与装配式建筑发展，不锈钢在绿色建材、装配式围护系统的应用持续扩大；山东省支持淄博老工业城市转型，周村"千亿级不锈钢产业园"规划推动深加工、电商与供应链金融一体化升级；"双碳"背景下不锈钢循环利用与绿色制造受鼓励，为山东新世纪不锈钢（集团）延伸绿色建材与一体化平台终端应用、提升附加值提供政策红利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业务结构：不锈钢贸易（主体）+ 加工（关联世纪正华）+ 仓储 + 金融 + 电商平台（拼钢网络）+ 产业园区 + 光伏售电。因非上市财务未公开，未披露分业务收入。集团整体以加工、贸易、仓储、金融、电商一体化运营。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贸易：不锈钢材、金属材料、金属制品、黑色金属、五金建材。2. 加工：依托集团世纪正华提供横剪、纵剪、激光切割、表面处理等。3. 服务：仓储、进出口代理、光伏发电售电、供应链金融、电商平台（拼钢网络）。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客户为不锈钢下游制造、建筑、机械、食品设备企业及经销商，依托周村市场与电商平台辐射全国。集团化运营增强客户粘性。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原料来自大型钢厂，具体前五大供应商未公开。集团统一采购与电商集采降低原料成本。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公司持有金属材料制造、仓储、进出口、光伏发电等经营资质；加工产能主要由关联企业世纪正华承担（年加工70万吨、仓储10万吨）。自身位于天河不锈钢市场，具备贸易与仓储便利。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渠道包括传统贸易经销、集团电商平台（山东拼钢网络科技股份有限公司）、仓储配送及进出口，线上线下融合。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公司本身人员小于50人（小微企业），但作为集团核心，协同世纪正华（年加工70万吨）等形成较大产业规模。集团为周村不锈钢千亿级产业园重要参与主体。具体单体市占率未公开。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新世纪不锈钢有限公司为非上市民营企业，经审计单体财务报表未公开披露，无法提供近三年营业收入、净利润、毛利率、资产负债率、经营现金流净额等标准化指标。公开可得：注册资本3,200万元，人员小于50人（小微企业）。上述非审计信息，使用时应予注意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数据未公开。贸易+加工+服务多元，盈利来自贸易价差、加工费及金融/电商服务；受不锈钢价格波动影响。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资产以存货、应收账款、仓储与电商资产为主。具体结构未公开。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财务数据未公开。小微企业杠杆适中，融资以银行与集团内部为主。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现金流数据未公开。贸易模式周转较快。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对标周村同业（伟业、世纪正华），新世纪优势在集团化（加工+贸易+金融+电商+园区）一体化与平台化，单体规模虽小但协同能力强。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民营有限责任公司，设执行董事（马文和）、经理（王金凤）、监事，治理简洁。党组织按非公企业要求建立。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法定代表人、执行董事马文和（持股50%），经理王金凤（持股43.75%），为实际控制人家族。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集团化内控，设财务、贸易、电商、加工等板块管理；A级纳税人体现税务合规良好。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公司单体人员小于50人（参保30人）；集团整体规模更大（百科称员工100—499人）。团队以贸易、电商、管理为主。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集团化协同：加工（世纪正华）、贸易、仓储、金融、电商（拼钢）、园区一体化，全链条服务。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2. 平台与渠道：电商平台+天河市场+仓储，获客与周转效率高。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3. 产业集聚：周村江北不锈钢集散地，配套完善。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4. 光伏+多元：售电等副业增强现金流。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不锈钢价格波动、行业产能过剩与竞争加剧。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存货跌价。2. 关联企业（世纪正华等）经营波动传导。3. 电商平台与金融新业务风险。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财务数据未公开。集团内资金往来复杂，需关注关联交易与流动性；应对措施为稳健财务。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加工与光伏涉及安全环保；应对措施为合规经营（A级纳税人）。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（五）管理风险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家族控股，治理规范化与传承为关注点。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集团一体化运营，金融协同场景丰富：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供应链金融：围绕集团核心企业，为贸易采购提供存货质押与订单融资。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2. 保理业务：针对电商与贸易应收账款开展保理。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3. 小贷：为集团内中小配套商及下游客户提供流动资金。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4. 融资租赁：为加工设备（关联世纪正华）升级提供融资租赁。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（一）综合小结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山东新世纪不锈钢是周村不锈钢集群集团化运作的代表，以"加工+贸易+仓储+金融+电商+园区"一体化模式构建护城河，区域产业链带动强。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（二）未来发展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在周村千亿级不锈钢产业园建设下，集团有望通过电商平台与产业园进一步整合区域资源，向数字化、服务化升级。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挑战来自价格波动、关联风险与平台新业务不确定性。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（四）结论与建议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总体判断：模式创新、协同完整，是山东投资在周村集群的重点协同标的。建议以供应链金融与保理切入集团贸易与电商场景，以融资租赁支持关联加工产能升级。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报告实际使用的公开来源包括：（1）天眼查/爱企查/企信宝企业工商信息（统一社会信用代码、成立2007-06-13、注册资本3200万、法人马文和、股东结构、参保30人、注册地址、经营范围、小微企业/A级纳税人）；（2）赶集网企业简介（集团架构：新世纪、青拓世纪、拼钢网络、世纪正华、华兴精工；一体化集团）；（3）周村区政府公开信息（千亿级不锈钢产业园）。审计财务数据未公开披露，相关财务章节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