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t>山东淄博高新区(药品及医疗器械)特色产业集群</w:t>
      </w:r>
    </w:p>
    <w:p>
      <w:pPr>
        <w:spacing w:lineRule="exact" w:line="600" w:before="240" w:after="240"/>
        <w:ind w:firstLine="0"/>
        <w:jc w:val="center"/>
      </w:pPr>
      <w:r>
        <w:rPr>
          <w:rFonts w:ascii="方正小标宋简体" w:hAnsi="方正小标宋简体" w:eastAsia="方正小标宋简体"/>
          <w:b w:val="0"/>
          <w:color w:val="000000"/>
          <w:sz w:val="44"/>
        </w:rPr>
        <w:t>山东新华制药股份有限公司企业分析报告</w:t>
      </w:r>
    </w:p>
    <w:p>
      <w:pPr>
        <w:spacing w:lineRule="exact" w:line="600" w:before="0" w:after="0"/>
        <w:jc w:val="left"/>
      </w:pPr>
      <w:r>
        <w:rPr>
          <w:rFonts w:ascii="仿宋_GB2312" w:hAnsi="仿宋_GB2312" w:eastAsia="仿宋_GB2312"/>
          <w:b w:val="0"/>
          <w:color w:val="000000"/>
          <w:sz w:val="28"/>
        </w:rPr>
        <w:t>（本报告数据来源于公司定期报告、深圳证券交易所与香港联合交易所披露文件、巨潮资讯网、上海证券交易所网站、公司官方网站、天眼查工商登记信息及证券时报、中国证券报、齐鲁晚报等权威媒体公开报道，统计时点截至最新披露信息。部分非上市主体或未公开事项已如实标注，不作推测性填充。）</w:t>
      </w:r>
    </w:p>
    <w:p>
      <w:pPr>
        <w:spacing w:lineRule="exact" w:line="600" w:before="120" w:after="120"/>
        <w:ind w:firstLine="420"/>
        <w:jc w:val="left"/>
      </w:pPr>
      <w:r>
        <w:rPr>
          <w:rFonts w:ascii="黑体" w:hAnsi="黑体" w:eastAsia="黑体"/>
          <w:b w:val="0"/>
          <w:color w:val="000000"/>
          <w:sz w:val="32"/>
        </w:rPr>
        <w:t>一、公司基本概况</w:t>
      </w:r>
    </w:p>
    <w:p>
      <w:pPr>
        <w:spacing w:lineRule="exact" w:line="600" w:before="120" w:after="120"/>
        <w:ind w:firstLine="420"/>
        <w:jc w:val="left"/>
      </w:pPr>
      <w:r>
        <w:rPr>
          <w:rFonts w:ascii="楷体_GB2312" w:hAnsi="楷体_GB2312" w:eastAsia="楷体_GB2312"/>
          <w:b w:val="0"/>
          <w:color w:val="000000"/>
          <w:sz w:val="32"/>
        </w:rPr>
        <w:t>（一）工商信息</w:t>
      </w:r>
    </w:p>
    <w:p>
      <w:pPr>
        <w:spacing w:lineRule="exact" w:line="600" w:before="0" w:after="0"/>
        <w:ind w:firstLine="420"/>
        <w:jc w:val="both"/>
      </w:pPr>
      <w:r>
        <w:rPr>
          <w:rFonts w:ascii="仿宋_GB2312" w:hAnsi="仿宋_GB2312" w:eastAsia="仿宋_GB2312"/>
          <w:b w:val="0"/>
          <w:color w:val="000000"/>
          <w:sz w:val="32"/>
        </w:rPr>
        <w:t>山东新华制药股份有限公司（以下简称"新华制药"或"公司"），统一社会信用代码91370300164103727C，企业登记状态为存续。公司注册地址为中华人民共和国山东省淄博市高新技术产业开发区化工区，办公地址为山东省淄博市高新技术产业开发区鲁泰大道1号，邮政编码255086，公司网址为http://www.xhzy.com。公司法定代表人为贺同庆，董事会秘书为曹长求。公司系"山东淄博高新区(药品及医疗器械)特色产业集群"内注册地与主要生产经营地均位于淄博高新技术产业开发区的核心链主企业。</w:t>
      </w:r>
    </w:p>
    <w:p>
      <w:pPr>
        <w:spacing w:lineRule="exact" w:line="600" w:before="0" w:after="0"/>
        <w:ind w:firstLine="420"/>
        <w:jc w:val="both"/>
      </w:pPr>
      <w:r>
        <w:rPr>
          <w:rFonts w:ascii="仿宋_GB2312" w:hAnsi="仿宋_GB2312" w:eastAsia="仿宋_GB2312"/>
          <w:b w:val="0"/>
          <w:color w:val="000000"/>
          <w:sz w:val="32"/>
        </w:rPr>
        <w:t>公司是国内少有的"A＋H"两地上市的化学制药企业。H股于香港联合交易所有限公司上市，股份代号00719，简称"山东新华制药股份"；A股于深圳证券交易所上市，股票简称"新华制药"，股票代码000756。境内信息披露报纸为《证券时报》，信息披露网址为巨潮资讯网（http://www.cninfo.com.cn）。</w:t>
      </w:r>
    </w:p>
    <w:p>
      <w:pPr>
        <w:spacing w:lineRule="exact" w:line="600" w:before="0" w:after="0"/>
        <w:ind w:firstLine="420"/>
        <w:jc w:val="both"/>
      </w:pPr>
      <w:r>
        <w:rPr>
          <w:rFonts w:ascii="仿宋_GB2312" w:hAnsi="仿宋_GB2312" w:eastAsia="仿宋_GB2312"/>
          <w:b w:val="0"/>
          <w:color w:val="000000"/>
          <w:sz w:val="32"/>
        </w:rPr>
        <w:t>股本结构方面，截至2025年12月31日，公司股份总数为689,776,535股，其中有限售条件流通股2,251,999股（占0.33%，为A股高管锁定股），无限售条件流通股687,524,536股（占99.67%）；人民币普通股（A股）492,524,536股，占71.40%；境外上市外资股（H股）195,000,000股，占28.27%。报告期后，因2021年股票期权激励计划首次授予第三个行权期行权完毕，新增A股股份690.69万股，2025年度利润分配以696,683,435股为基数实施。</w:t>
      </w:r>
    </w:p>
    <w:p>
      <w:pPr>
        <w:spacing w:lineRule="exact" w:line="600" w:before="0" w:after="0"/>
        <w:ind w:firstLine="420"/>
        <w:jc w:val="both"/>
      </w:pPr>
      <w:r>
        <w:rPr>
          <w:rFonts w:ascii="仿宋_GB2312" w:hAnsi="仿宋_GB2312" w:eastAsia="仿宋_GB2312"/>
          <w:b w:val="0"/>
          <w:color w:val="000000"/>
          <w:sz w:val="32"/>
        </w:rPr>
        <w:t>股权与控制关系方面，截至2025年12月31日，第一大股东为华鲁控股集团有限公司，持股204,864,092股，持股比例29.70%，股东性质为国有法人；香港中央结算（代理人）有限公司代持H股193,516,087股，占28.05%；华鲁投资发展有限公司持股37,091,988股，占5.38%，同为国有法人，系公司2022年度非公开发行的认购方，该部分股份已于2025年4月14日解除限售上市流通。华鲁控股集团有限公司与华鲁投资发展有限公司为一致行动关系，合计持股比例约35.08%，构成对公司的控制。</w:t>
      </w:r>
    </w:p>
    <w:p>
      <w:pPr>
        <w:spacing w:lineRule="exact" w:line="600" w:before="0" w:after="0"/>
        <w:ind w:firstLine="420"/>
        <w:jc w:val="both"/>
      </w:pPr>
      <w:r>
        <w:rPr>
          <w:rFonts w:ascii="仿宋_GB2312" w:hAnsi="仿宋_GB2312" w:eastAsia="仿宋_GB2312"/>
          <w:b w:val="0"/>
          <w:color w:val="000000"/>
          <w:sz w:val="32"/>
        </w:rPr>
        <w:t>国资层级方面，公司控股股东华鲁控股集团有限公司为山东省人民政府国有资产监督管理委员会监管的省属国有资本投资运营主体之一，公司实际控制人为山东省人民政府国有资产监督管理委员会。据公开股权穿透信息，山东省国资委通过华鲁控股及其一致行动人形成对上市公司的最终控制，山东发展投资控股集团有限公司、山东省财金投资集团有限公司、山东省财欣资产运营有限公司等省级国有资本运营平台亦位列华鲁控股股东序列。据此，新华制药属于省属国有控股上市公司，国资层级为"省国资委—省属国有资本投资运营公司—上市公司"三级架构。</w:t>
      </w:r>
    </w:p>
    <w:p>
      <w:pPr>
        <w:spacing w:lineRule="exact" w:line="600" w:before="0" w:after="0"/>
        <w:ind w:firstLine="420"/>
        <w:jc w:val="both"/>
      </w:pPr>
      <w:r>
        <w:rPr>
          <w:rFonts w:ascii="仿宋_GB2312" w:hAnsi="仿宋_GB2312" w:eastAsia="仿宋_GB2312"/>
          <w:b w:val="0"/>
          <w:color w:val="000000"/>
          <w:sz w:val="32"/>
        </w:rPr>
        <w:t>截至2025年12月31日，公司登记股东总数为77,529户，其中H股登记股东38户、A股登记股东77,491户；至2026年2月28日，登记股东总数为76,979户。股权结构呈现"国有法人绝对主导＋H股机构化持有＋A股散户化分布"的三元格局，控制权稳定，二级市场流动性良好。</w:t>
      </w:r>
    </w:p>
    <w:p>
      <w:pPr>
        <w:spacing w:lineRule="exact" w:line="600" w:before="120" w:after="120"/>
        <w:ind w:firstLine="420"/>
        <w:jc w:val="left"/>
      </w:pPr>
      <w:r>
        <w:rPr>
          <w:rFonts w:ascii="楷体_GB2312" w:hAnsi="楷体_GB2312" w:eastAsia="楷体_GB2312"/>
          <w:b w:val="0"/>
          <w:color w:val="000000"/>
          <w:sz w:val="32"/>
        </w:rPr>
        <w:t>（二）组织架构</w:t>
      </w:r>
    </w:p>
    <w:p>
      <w:pPr>
        <w:spacing w:lineRule="exact" w:line="600" w:before="0" w:after="0"/>
        <w:ind w:firstLine="420"/>
        <w:jc w:val="both"/>
      </w:pPr>
      <w:r>
        <w:rPr>
          <w:rFonts w:ascii="仿宋_GB2312" w:hAnsi="仿宋_GB2312" w:eastAsia="仿宋_GB2312"/>
          <w:b w:val="0"/>
          <w:color w:val="000000"/>
          <w:sz w:val="32"/>
        </w:rPr>
        <w:t>公司以母公司为研发、原料药生产与统筹管理平台，下设多家全资、控股及参股子公司，形成覆盖"原料药—医药中间体—制剂—商业流通—工程装备"的一体化组织体系。据公开工商穿透信息，主要全资子公司包括：山东新华医药贸易有限公司（100%）、山东淄博新达制药有限公司（100%）、新华制药（寿光）有限公司（100%）、新华制药（高密）有限公司（100%）、山东新华万博化工有限公司（100%）、山东新华制药进出口有限责任公司（100%）、山东新华机电工程有限公司（100%）、淄博新华大药店连锁有限公司（100%）等。</w:t>
      </w:r>
    </w:p>
    <w:p>
      <w:pPr>
        <w:spacing w:lineRule="exact" w:line="600" w:before="0" w:after="0"/>
        <w:ind w:firstLine="420"/>
        <w:jc w:val="both"/>
      </w:pPr>
      <w:r>
        <w:rPr>
          <w:rFonts w:ascii="仿宋_GB2312" w:hAnsi="仿宋_GB2312" w:eastAsia="仿宋_GB2312"/>
          <w:b w:val="0"/>
          <w:color w:val="000000"/>
          <w:sz w:val="32"/>
        </w:rPr>
        <w:t>主要控股子公司包括：山东新华设计工程有限公司（90.65%）、山东同新药业有限公司（60%）、北方健康医疗大数据（山东）有限公司（60%）、淄博新华-百利高制药有限责任公司（50.10%）等。重要参股公司包括：山东新华健康科技有限公司（49%）、山东产发数字健康发展有限公司（40%）、山东新华长星化工设备有限公司（35%）、灿盛制药（淄博）有限公司（30%）、北方健康医疗大数据科技有限公司（4%）等。</w:t>
      </w:r>
    </w:p>
    <w:p>
      <w:pPr>
        <w:spacing w:lineRule="exact" w:line="600" w:before="0" w:after="0"/>
        <w:ind w:firstLine="420"/>
        <w:jc w:val="both"/>
      </w:pPr>
      <w:r>
        <w:rPr>
          <w:rFonts w:ascii="仿宋_GB2312" w:hAnsi="仿宋_GB2312" w:eastAsia="仿宋_GB2312"/>
          <w:b w:val="0"/>
          <w:color w:val="000000"/>
          <w:sz w:val="32"/>
        </w:rPr>
        <w:t>从业务板块看，公司经营架构可划分为四大板块：一是原料药板块，以解热镇痛类原料药为核心，布局在淄博本部及寿光、高密等基地；二是制剂板块，涵盖片剂、针剂、胶囊剂等剂型，是收入占比最高的板块；三是医药中间体及化工产品板块，由新华万博化工等主体承担，服务于原料药自给与外销；四是医药商业与配套服务板块，由新华医药贸易、新华进出口、新华大药店连锁、新华机电工程、新华设计工程等主体构成，承担国内外销售网络、医药工程设计与装备配套职能。公司通过参股北方健康医疗大数据、山东产发数字健康等主体，向数字健康方向延伸布局。</w:t>
      </w:r>
    </w:p>
    <w:p>
      <w:pPr>
        <w:spacing w:lineRule="exact" w:line="600" w:before="120" w:after="120"/>
        <w:ind w:firstLine="420"/>
        <w:jc w:val="left"/>
      </w:pPr>
      <w:r>
        <w:rPr>
          <w:rFonts w:ascii="楷体_GB2312" w:hAnsi="楷体_GB2312" w:eastAsia="楷体_GB2312"/>
          <w:b w:val="0"/>
          <w:color w:val="000000"/>
          <w:sz w:val="32"/>
        </w:rPr>
        <w:t>（三）发展沿革</w:t>
      </w:r>
    </w:p>
    <w:p>
      <w:pPr>
        <w:spacing w:lineRule="exact" w:line="600" w:before="0" w:after="0"/>
        <w:ind w:firstLine="420"/>
        <w:jc w:val="both"/>
      </w:pPr>
      <w:r>
        <w:rPr>
          <w:rFonts w:ascii="仿宋_GB2312" w:hAnsi="仿宋_GB2312" w:eastAsia="仿宋_GB2312"/>
          <w:b w:val="0"/>
          <w:color w:val="000000"/>
          <w:sz w:val="32"/>
        </w:rPr>
        <w:t>公司前身可追溯至我国最早的化学合成制药企业之一，长期在解热镇痛类原料药领域居于全国乃至全球前列。1996年，公司H股在香港联合交易所上市，成为山东省较早实现境外资本市场融资的制药企业；1998年11月20日，公司完成现行工商主体登记；1997年公司A股在深圳证券交易所上市（股票代码000756），形成"A＋H"双资本平台格局。</w:t>
      </w:r>
    </w:p>
    <w:p>
      <w:pPr>
        <w:spacing w:lineRule="exact" w:line="600" w:before="0" w:after="0"/>
        <w:ind w:firstLine="420"/>
        <w:jc w:val="both"/>
      </w:pPr>
      <w:r>
        <w:rPr>
          <w:rFonts w:ascii="仿宋_GB2312" w:hAnsi="仿宋_GB2312" w:eastAsia="仿宋_GB2312"/>
          <w:b w:val="0"/>
          <w:color w:val="000000"/>
          <w:sz w:val="32"/>
        </w:rPr>
        <w:t>进入21世纪后，公司围绕"原料药＋制剂"一体化战略推进产业升级：先后在寿光、高密等地布局原料药与中间体生产基地，扩充产能与环保处理能力；在淄博高新区建设现代化制剂生产线，推进制剂国际化与仿制药质量和疗效一致性评价工作。公司持续开展国际认证，产品出口至多个国家和地区，国际化程度在国内原料药企业中处于较高水平。</w:t>
      </w:r>
    </w:p>
    <w:p>
      <w:pPr>
        <w:spacing w:lineRule="exact" w:line="600" w:before="0" w:after="0"/>
        <w:ind w:firstLine="420"/>
        <w:jc w:val="both"/>
      </w:pPr>
      <w:r>
        <w:rPr>
          <w:rFonts w:ascii="仿宋_GB2312" w:hAnsi="仿宋_GB2312" w:eastAsia="仿宋_GB2312"/>
          <w:b w:val="0"/>
          <w:color w:val="000000"/>
          <w:sz w:val="32"/>
        </w:rPr>
        <w:t>公司治理与激励机制方面，2021年12月31日公司采纳股票期权激励计划，首次授予的第一个行权期于2024年1月15日登记上市流通（新增A股772.48万股），第二个行权期于2025年1月14日登记上市流通（新增A股736.89万股），第三个行权期于2025年年报披露前行权完毕（新增A股690.69万股）。资本运作方面，公司通过非公开发行方式向特定对象华鲁投资发展有限公司发行A股37,091,988股，进一步夯实国有股东持股基础，该批股份已于2025年4月14日解禁流通。</w:t>
      </w:r>
    </w:p>
    <w:p>
      <w:pPr>
        <w:spacing w:lineRule="exact" w:line="600" w:before="0" w:after="0"/>
        <w:ind w:firstLine="420"/>
        <w:jc w:val="both"/>
      </w:pPr>
      <w:r>
        <w:rPr>
          <w:rFonts w:ascii="仿宋_GB2312" w:hAnsi="仿宋_GB2312" w:eastAsia="仿宋_GB2312"/>
          <w:b w:val="0"/>
          <w:color w:val="000000"/>
          <w:sz w:val="32"/>
        </w:rPr>
        <w:t>2025年，公司提出以"发展确定性对冲外部不确定性"为主线，全年28个制剂新产品投放市场，27个新产品加快推进上市；国际制剂业务实现销售收入同比增长19.86%，其中自营制剂出口销售收入同比增长176.13%；电商业务销售收入同比增长12.86%；动保制剂销售收入同比增长67.12%。公司战略重心由"以原料药规模取胜"向"制剂驱动＋国际化＋新渠道"转型的特征日益明显。</w:t>
      </w:r>
    </w:p>
    <w:p>
      <w:pPr>
        <w:spacing w:lineRule="exact" w:line="600" w:before="120" w:after="120"/>
        <w:ind w:firstLine="420"/>
        <w:jc w:val="left"/>
      </w:pPr>
      <w:r>
        <w:rPr>
          <w:rFonts w:ascii="楷体_GB2312" w:hAnsi="楷体_GB2312" w:eastAsia="楷体_GB2312"/>
          <w:b w:val="0"/>
          <w:color w:val="000000"/>
          <w:sz w:val="32"/>
        </w:rPr>
        <w:t>（四）企业定位与主营业务</w:t>
      </w:r>
    </w:p>
    <w:p>
      <w:pPr>
        <w:spacing w:lineRule="exact" w:line="600" w:before="0" w:after="0"/>
        <w:ind w:firstLine="420"/>
        <w:jc w:val="both"/>
      </w:pPr>
      <w:r>
        <w:rPr>
          <w:rFonts w:ascii="仿宋_GB2312" w:hAnsi="仿宋_GB2312" w:eastAsia="仿宋_GB2312"/>
          <w:b w:val="0"/>
          <w:color w:val="000000"/>
          <w:sz w:val="32"/>
        </w:rPr>
        <w:t>公司战略定位为"国内领先、国际知名的化学药品综合供应商"，是全球重要的解热镇痛类原料药生产基地和国内重要的普药制剂供应商。公司及其附属公司主要从事开发、制造和销售化学原料药、制剂、医药中间体及其他产品，集团利润主要来源于主营业务。</w:t>
      </w:r>
    </w:p>
    <w:p>
      <w:pPr>
        <w:spacing w:lineRule="exact" w:line="600" w:before="0" w:after="0"/>
        <w:ind w:firstLine="420"/>
        <w:jc w:val="both"/>
      </w:pPr>
      <w:r>
        <w:rPr>
          <w:rFonts w:ascii="仿宋_GB2312" w:hAnsi="仿宋_GB2312" w:eastAsia="仿宋_GB2312"/>
          <w:b w:val="0"/>
          <w:color w:val="000000"/>
          <w:sz w:val="32"/>
        </w:rPr>
        <w:t>核心产品谱系包括三大类：一是解热镇痛类原料药，包括布洛芬、安乃近、阿司匹林、咖啡因等品种，公司在该细分领域具有全球性的产能与成本优势；二是制剂产品，涵盖片剂、针剂、胶囊剂等剂型，覆盖解热镇痛、心脑血管、抗感染、消化系统、神经系统等治疗领域，其中多个品种通过仿制药质量和疗效一致性评价；三是医药中间体及化工产品，既满足内部原料药生产的纵向配套，也对外销售。</w:t>
      </w:r>
    </w:p>
    <w:p>
      <w:pPr>
        <w:spacing w:lineRule="exact" w:line="600" w:before="0" w:after="0"/>
        <w:ind w:firstLine="420"/>
        <w:jc w:val="both"/>
      </w:pPr>
      <w:r>
        <w:rPr>
          <w:rFonts w:ascii="仿宋_GB2312" w:hAnsi="仿宋_GB2312" w:eastAsia="仿宋_GB2312"/>
          <w:b w:val="0"/>
          <w:color w:val="000000"/>
          <w:sz w:val="32"/>
        </w:rPr>
        <w:t>在"山东淄博高新区(药品及医疗器械)特色产业集群"中，公司居于链主地位：一方面以原料药与中间体产能带动上游精细化工配套，另一方面以制剂产能带动下游医药包装、医疗器械、医药流通企业集聚，与同处淄博的药用玻璃包装企业、医疗器械制造企业形成产业链协同效应，是集群"药品—包装—器械—流通"完整链条的核心节点。</w:t>
      </w:r>
    </w:p>
    <w:p>
      <w:pPr>
        <w:spacing w:lineRule="exact" w:line="600" w:before="120" w:after="120"/>
        <w:ind w:firstLine="420"/>
        <w:jc w:val="left"/>
      </w:pPr>
      <w:r>
        <w:rPr>
          <w:rFonts w:ascii="黑体" w:hAnsi="黑体" w:eastAsia="黑体"/>
          <w:b w:val="0"/>
          <w:color w:val="000000"/>
          <w:sz w:val="32"/>
        </w:rPr>
        <w:t>二、业务层面分析</w:t>
      </w:r>
    </w:p>
    <w:p>
      <w:pPr>
        <w:spacing w:lineRule="exact" w:line="600" w:before="120" w:after="120"/>
        <w:ind w:firstLine="420"/>
        <w:jc w:val="left"/>
      </w:pPr>
      <w:r>
        <w:rPr>
          <w:rFonts w:ascii="楷体_GB2312" w:hAnsi="楷体_GB2312" w:eastAsia="楷体_GB2312"/>
          <w:b w:val="0"/>
          <w:color w:val="000000"/>
          <w:sz w:val="32"/>
        </w:rPr>
        <w:t>（一）业务结构与收入构成</w:t>
      </w:r>
    </w:p>
    <w:p>
      <w:pPr>
        <w:spacing w:lineRule="exact" w:line="600" w:before="0" w:after="0"/>
        <w:ind w:firstLine="420"/>
        <w:jc w:val="both"/>
      </w:pPr>
      <w:r>
        <w:rPr>
          <w:rFonts w:ascii="仿宋_GB2312" w:hAnsi="仿宋_GB2312" w:eastAsia="仿宋_GB2312"/>
          <w:b w:val="0"/>
          <w:color w:val="000000"/>
          <w:sz w:val="32"/>
        </w:rPr>
        <w:t>公司主营业务收入由制剂、原料药、医药中间体及其他三大板块构成。以披露口径较为完整的2024年为例，片剂、针剂、胶囊剂等制剂收入40.72亿元，同比增长11.91%，占营业收入的48.10%；解热镇痛类等原料药收入27.36亿元，同比下降12.31%，占营业收入的32.32%；医药中间体及其他收入16.58亿元，同比增长23.56%，占营业收入的19.59%。收入结构显示，制剂已取代原料药成为公司第一大收入来源，业务重心的"下游化"趋势确立。</w:t>
      </w:r>
    </w:p>
    <w:p>
      <w:pPr>
        <w:spacing w:lineRule="exact" w:line="600" w:before="0" w:after="0"/>
        <w:ind w:firstLine="420"/>
        <w:jc w:val="both"/>
      </w:pPr>
      <w:r>
        <w:rPr>
          <w:rFonts w:ascii="仿宋_GB2312" w:hAnsi="仿宋_GB2312" w:eastAsia="仿宋_GB2312"/>
          <w:b w:val="0"/>
          <w:color w:val="000000"/>
          <w:sz w:val="32"/>
        </w:rPr>
        <w:t>毛利结构方面，2024年制剂、原料药、医药中间体及其他的毛利率分别为26.27%、34.61%和1.50%。原料药虽收入占比下降，但仍是毛利率最高的板块；医药中间体及其他板块毛利率极低，主要承担产业链配套与规模摊薄职能，对利润贡献有限。这一结构意味着公司整体盈利水平对原料药价格周期与制剂集采价格高度敏感。</w:t>
      </w:r>
    </w:p>
    <w:p>
      <w:pPr>
        <w:spacing w:lineRule="exact" w:line="600" w:before="0" w:after="0"/>
        <w:ind w:firstLine="420"/>
        <w:jc w:val="both"/>
      </w:pPr>
      <w:r>
        <w:rPr>
          <w:rFonts w:ascii="仿宋_GB2312" w:hAnsi="仿宋_GB2312" w:eastAsia="仿宋_GB2312"/>
          <w:b w:val="0"/>
          <w:color w:val="000000"/>
          <w:sz w:val="32"/>
        </w:rPr>
        <w:t>2025年，公司实现营业总收入87.55亿元，同比增长3.41%，收入端保持正增长；但归属于上市公司股东的净利润为2.90亿元，同比下降38.32%，呈现明显的"增收不增利"特征。综合毛利率由2024年的24.11%下降至18.78%，同比下降5.33个百分点，是利润下滑的核心原因。</w:t>
      </w:r>
    </w:p>
    <w:p>
      <w:pPr>
        <w:spacing w:lineRule="exact" w:line="600" w:before="120" w:after="120"/>
        <w:ind w:firstLine="420"/>
        <w:jc w:val="left"/>
      </w:pPr>
      <w:r>
        <w:rPr>
          <w:rFonts w:ascii="楷体_GB2312" w:hAnsi="楷体_GB2312" w:eastAsia="楷体_GB2312"/>
          <w:b w:val="0"/>
          <w:color w:val="000000"/>
          <w:sz w:val="32"/>
        </w:rPr>
        <w:t>（二）主要产品与服务</w:t>
      </w:r>
    </w:p>
    <w:p>
      <w:pPr>
        <w:spacing w:lineRule="exact" w:line="600" w:before="0" w:after="0"/>
        <w:ind w:firstLine="420"/>
        <w:jc w:val="both"/>
      </w:pPr>
      <w:r>
        <w:rPr>
          <w:rFonts w:ascii="仿宋_GB2312" w:hAnsi="仿宋_GB2312" w:eastAsia="仿宋_GB2312"/>
          <w:b w:val="0"/>
          <w:color w:val="000000"/>
          <w:sz w:val="32"/>
        </w:rPr>
        <w:t>原料药方面，公司解热镇痛类原料药规模位居全球前列，布洛芬、安乃近等品种具备成本与稳定供应优势，客户覆盖国内外大型制药企业与贸易商，是公司国际业务的基本盘。原料药业务的定价高度市场化，受上游基础化工原料价格、海外需求周期及同业产能投放影响显著。</w:t>
      </w:r>
    </w:p>
    <w:p>
      <w:pPr>
        <w:spacing w:lineRule="exact" w:line="600" w:before="0" w:after="0"/>
        <w:ind w:firstLine="420"/>
        <w:jc w:val="both"/>
      </w:pPr>
      <w:r>
        <w:rPr>
          <w:rFonts w:ascii="仿宋_GB2312" w:hAnsi="仿宋_GB2312" w:eastAsia="仿宋_GB2312"/>
          <w:b w:val="0"/>
          <w:color w:val="000000"/>
          <w:sz w:val="32"/>
        </w:rPr>
        <w:t>制剂方面，公司拥有覆盖多剂型、多治疗领域的普药产品线，产品数量众多、单品规模相对分散，在基层医疗市场与零售终端具有较强的品牌认知度。2025年公司全年28个制剂新产品投放市场，27个新产品加快上市进程，产品迭代节奏较快。国际制剂业务成为新的增长极，2025年国际制剂销售收入同比增长19.86%，其中自营制剂出口收入同比大幅增长176.13%，标志公司由"原料药出口"向"制剂出口"的价值链跃迁取得实质进展。</w:t>
      </w:r>
    </w:p>
    <w:p>
      <w:pPr>
        <w:spacing w:lineRule="exact" w:line="600" w:before="0" w:after="0"/>
        <w:ind w:firstLine="420"/>
        <w:jc w:val="both"/>
      </w:pPr>
      <w:r>
        <w:rPr>
          <w:rFonts w:ascii="仿宋_GB2312" w:hAnsi="仿宋_GB2312" w:eastAsia="仿宋_GB2312"/>
          <w:b w:val="0"/>
          <w:color w:val="000000"/>
          <w:sz w:val="32"/>
        </w:rPr>
        <w:t>新兴渠道与新兴业务方面，2025年公司电商业务销售收入同比增长12.86%，动保（动物保健）制剂销售收入同比增长67.12%。动保业务作为公司化学合成能力在非人用药领域的延伸，增速显著高于主业，具备成为第二增长曲线的潜力。</w:t>
      </w:r>
    </w:p>
    <w:p>
      <w:pPr>
        <w:spacing w:lineRule="exact" w:line="600" w:before="120" w:after="120"/>
        <w:ind w:firstLine="420"/>
        <w:jc w:val="left"/>
      </w:pPr>
      <w:r>
        <w:rPr>
          <w:rFonts w:ascii="楷体_GB2312" w:hAnsi="楷体_GB2312" w:eastAsia="楷体_GB2312"/>
          <w:b w:val="0"/>
          <w:color w:val="000000"/>
          <w:sz w:val="32"/>
        </w:rPr>
        <w:t>（三）客户分析</w:t>
      </w:r>
    </w:p>
    <w:p>
      <w:pPr>
        <w:spacing w:lineRule="exact" w:line="600" w:before="0" w:after="0"/>
        <w:ind w:firstLine="420"/>
        <w:jc w:val="both"/>
      </w:pPr>
      <w:r>
        <w:rPr>
          <w:rFonts w:ascii="仿宋_GB2312" w:hAnsi="仿宋_GB2312" w:eastAsia="仿宋_GB2312"/>
          <w:b w:val="0"/>
          <w:color w:val="000000"/>
          <w:sz w:val="32"/>
        </w:rPr>
        <w:t>公司客户结构高度分散。2024年，公司前五大客户合计销售金额10.46亿元，占总销售金额比例为12.34%，单一客户依赖度低，议价与回款风险相对可控。客户群体主要包括：国内医药商业公司与连锁药店（制剂）、国内外制药企业与原料药贸易商（原料药与中间体）、境外制剂采购方（国际制剂业务）以及电商平台与动保渠道客户。</w:t>
      </w:r>
    </w:p>
    <w:p>
      <w:pPr>
        <w:spacing w:lineRule="exact" w:line="600" w:before="0" w:after="0"/>
        <w:ind w:firstLine="420"/>
        <w:jc w:val="both"/>
      </w:pPr>
      <w:r>
        <w:rPr>
          <w:rFonts w:ascii="仿宋_GB2312" w:hAnsi="仿宋_GB2312" w:eastAsia="仿宋_GB2312"/>
          <w:b w:val="0"/>
          <w:color w:val="000000"/>
          <w:sz w:val="32"/>
        </w:rPr>
        <w:t>需要说明的是，公司2025年年度报告披露口径中未单独列示前五大客户与前五大供应商的集中度数据，本报告相关集中度指标以2024年披露数据为准，并据此进行趋势判断，不对2025年数据作推测。</w:t>
      </w:r>
    </w:p>
    <w:p>
      <w:pPr>
        <w:spacing w:lineRule="exact" w:line="600" w:before="0" w:after="0"/>
        <w:ind w:firstLine="420"/>
        <w:jc w:val="both"/>
      </w:pPr>
      <w:r>
        <w:rPr>
          <w:rFonts w:ascii="仿宋_GB2312" w:hAnsi="仿宋_GB2312" w:eastAsia="仿宋_GB2312"/>
          <w:b w:val="0"/>
          <w:color w:val="000000"/>
          <w:sz w:val="32"/>
        </w:rPr>
        <w:t>从区域看，公司业务兼具国内与国际双市场特征。国内市场受药品集中带量采购、医保控费影响，制剂价格承压但放量确定性强；国际市场受汇率、海运成本、目的国注册与认证壁垒影响，毛利率相对更高但周期波动亦更明显。2025年国际制剂业务的高增长，在一定程度上对冲了国内制剂价格下行的压力。</w:t>
      </w:r>
    </w:p>
    <w:p>
      <w:pPr>
        <w:spacing w:lineRule="exact" w:line="600" w:before="120" w:after="120"/>
        <w:ind w:firstLine="420"/>
        <w:jc w:val="left"/>
      </w:pPr>
      <w:r>
        <w:rPr>
          <w:rFonts w:ascii="楷体_GB2312" w:hAnsi="楷体_GB2312" w:eastAsia="楷体_GB2312"/>
          <w:b w:val="0"/>
          <w:color w:val="000000"/>
          <w:sz w:val="32"/>
        </w:rPr>
        <w:t>（四）供应商与采购</w:t>
      </w:r>
    </w:p>
    <w:p>
      <w:pPr>
        <w:spacing w:lineRule="exact" w:line="600" w:before="0" w:after="0"/>
        <w:ind w:firstLine="420"/>
        <w:jc w:val="both"/>
      </w:pPr>
      <w:r>
        <w:rPr>
          <w:rFonts w:ascii="仿宋_GB2312" w:hAnsi="仿宋_GB2312" w:eastAsia="仿宋_GB2312"/>
          <w:b w:val="0"/>
          <w:color w:val="000000"/>
          <w:sz w:val="32"/>
        </w:rPr>
        <w:t>公司原材料主要为基础化工原料、精细化工中间体、包装材料与能源动力。2024年，公司前五名供应商合计采购金额3.37亿元，占年度采购总额比例为19.10%，采购集中度中等偏低，供应链具备一定的可替代性与议价空间。</w:t>
      </w:r>
    </w:p>
    <w:p>
      <w:pPr>
        <w:spacing w:lineRule="exact" w:line="600" w:before="0" w:after="0"/>
        <w:ind w:firstLine="420"/>
        <w:jc w:val="both"/>
      </w:pPr>
      <w:r>
        <w:rPr>
          <w:rFonts w:ascii="仿宋_GB2312" w:hAnsi="仿宋_GB2312" w:eastAsia="仿宋_GB2312"/>
          <w:b w:val="0"/>
          <w:color w:val="000000"/>
          <w:sz w:val="32"/>
        </w:rPr>
        <w:t>公司通过山东新华万博化工有限公司等自有中间体主体实现部分关键中间体的内部配套，降低了对外部单一供应商的依赖；同时，公司地处淄博这一全国重要的石油化工与精细化工基地，在原料就近采购、物流成本控制方面具有区位优势，这也是淄博高新区药械产业集群"化工—医药"耦合特征的直接体现。</w:t>
      </w:r>
    </w:p>
    <w:p>
      <w:pPr>
        <w:spacing w:lineRule="exact" w:line="600" w:before="0" w:after="0"/>
        <w:ind w:firstLine="420"/>
        <w:jc w:val="both"/>
      </w:pPr>
      <w:r>
        <w:rPr>
          <w:rFonts w:ascii="仿宋_GB2312" w:hAnsi="仿宋_GB2312" w:eastAsia="仿宋_GB2312"/>
          <w:b w:val="0"/>
          <w:color w:val="000000"/>
          <w:sz w:val="32"/>
        </w:rPr>
        <w:t>风险方面，2025年公司毛利率下降5.33个百分点，反映出原材料价格、能源成本与产品售价之间的"剪刀差"扩大，成本传导能力在集采与国际竞争双重挤压下有所减弱。</w:t>
      </w:r>
    </w:p>
    <w:p>
      <w:pPr>
        <w:spacing w:lineRule="exact" w:line="600" w:before="120" w:after="120"/>
        <w:ind w:firstLine="420"/>
        <w:jc w:val="left"/>
      </w:pPr>
      <w:r>
        <w:rPr>
          <w:rFonts w:ascii="楷体_GB2312" w:hAnsi="楷体_GB2312" w:eastAsia="楷体_GB2312"/>
          <w:b w:val="0"/>
          <w:color w:val="000000"/>
          <w:sz w:val="32"/>
        </w:rPr>
        <w:t>（五）产能、资源与牌照</w:t>
      </w:r>
    </w:p>
    <w:p>
      <w:pPr>
        <w:spacing w:lineRule="exact" w:line="600" w:before="0" w:after="0"/>
        <w:ind w:firstLine="420"/>
        <w:jc w:val="both"/>
      </w:pPr>
      <w:r>
        <w:rPr>
          <w:rFonts w:ascii="仿宋_GB2312" w:hAnsi="仿宋_GB2312" w:eastAsia="仿宋_GB2312"/>
          <w:b w:val="0"/>
          <w:color w:val="000000"/>
          <w:sz w:val="32"/>
        </w:rPr>
        <w:t>公司在淄博高新区本部及寿光、高密等地建有原料药、中间体与制剂生产基地，具备从化学合成到制剂灌装的完整生产能力。作为化学制药企业，公司生产经营须持续满足《药品生产许可证》《药品经营许可证》及药品GMP相关规范要求，出口业务还须满足目的国监管机构的注册与现场检查要求。</w:t>
      </w:r>
    </w:p>
    <w:p>
      <w:pPr>
        <w:spacing w:lineRule="exact" w:line="600" w:before="0" w:after="0"/>
        <w:ind w:firstLine="420"/>
        <w:jc w:val="both"/>
      </w:pPr>
      <w:r>
        <w:rPr>
          <w:rFonts w:ascii="仿宋_GB2312" w:hAnsi="仿宋_GB2312" w:eastAsia="仿宋_GB2312"/>
          <w:b w:val="0"/>
          <w:color w:val="000000"/>
          <w:sz w:val="32"/>
        </w:rPr>
        <w:t>资质与认证是公司国际化的核心资源。公司多年来持续推进国际认证体系建设，产品出口覆盖多个国家和地区。制剂国际化的关键在于境外注册批文数量与生产线的国际合规水平，2025年自营制剂出口收入同比增长176.13%，从侧面印证公司境外注册与合规能力的实质性提升。</w:t>
      </w:r>
    </w:p>
    <w:p>
      <w:pPr>
        <w:spacing w:lineRule="exact" w:line="600" w:before="0" w:after="0"/>
        <w:ind w:firstLine="420"/>
        <w:jc w:val="both"/>
      </w:pPr>
      <w:r>
        <w:rPr>
          <w:rFonts w:ascii="仿宋_GB2312" w:hAnsi="仿宋_GB2312" w:eastAsia="仿宋_GB2312"/>
          <w:b w:val="0"/>
          <w:color w:val="000000"/>
          <w:sz w:val="32"/>
        </w:rPr>
        <w:t>需说明的是，公司具体分品种产能、产能利用率、境外注册批文明细等经营细节，未在定期报告中以统一口径完整披露，本报告不作数量推测。</w:t>
      </w:r>
    </w:p>
    <w:p>
      <w:pPr>
        <w:spacing w:lineRule="exact" w:line="600" w:before="120" w:after="120"/>
        <w:ind w:firstLine="420"/>
        <w:jc w:val="left"/>
      </w:pPr>
      <w:r>
        <w:rPr>
          <w:rFonts w:ascii="楷体_GB2312" w:hAnsi="楷体_GB2312" w:eastAsia="楷体_GB2312"/>
          <w:b w:val="0"/>
          <w:color w:val="000000"/>
          <w:sz w:val="32"/>
        </w:rPr>
        <w:t>（六）销售与渠道</w:t>
      </w:r>
    </w:p>
    <w:p>
      <w:pPr>
        <w:spacing w:lineRule="exact" w:line="600" w:before="0" w:after="0"/>
        <w:ind w:firstLine="420"/>
        <w:jc w:val="both"/>
      </w:pPr>
      <w:r>
        <w:rPr>
          <w:rFonts w:ascii="仿宋_GB2312" w:hAnsi="仿宋_GB2312" w:eastAsia="仿宋_GB2312"/>
          <w:b w:val="0"/>
          <w:color w:val="000000"/>
          <w:sz w:val="32"/>
        </w:rPr>
        <w:t>公司销售体系可归纳为四条主线：一是国内医药商业与终端渠道，通过山东新华医药贸易有限公司及各区域经销体系覆盖医院、基层医疗机构与零售连锁；二是国际贸易渠道，通过山东新华制药进出口有限责任公司承担原料药与制剂出口；三是自营与电商新渠道，2025年电商销售收入同比增长12.86%；四是动保等专业细分渠道，2025年动保制剂销售收入同比增长67.12%。</w:t>
      </w:r>
    </w:p>
    <w:p>
      <w:pPr>
        <w:spacing w:lineRule="exact" w:line="600" w:before="0" w:after="0"/>
        <w:ind w:firstLine="420"/>
        <w:jc w:val="both"/>
      </w:pPr>
      <w:r>
        <w:rPr>
          <w:rFonts w:ascii="仿宋_GB2312" w:hAnsi="仿宋_GB2312" w:eastAsia="仿宋_GB2312"/>
          <w:b w:val="0"/>
          <w:color w:val="000000"/>
          <w:sz w:val="32"/>
        </w:rPr>
        <w:t>公司还通过淄博新华大药店连锁有限公司布局零售终端，形成"工业＋商业"的有限一体化，但零售业务规模相对较小，主要发挥品牌展示与区域市场触达功能。</w:t>
      </w:r>
    </w:p>
    <w:p>
      <w:pPr>
        <w:spacing w:lineRule="exact" w:line="600" w:before="120" w:after="120"/>
        <w:ind w:firstLine="420"/>
        <w:jc w:val="left"/>
      </w:pPr>
      <w:r>
        <w:rPr>
          <w:rFonts w:ascii="楷体_GB2312" w:hAnsi="楷体_GB2312" w:eastAsia="楷体_GB2312"/>
          <w:b w:val="0"/>
          <w:color w:val="000000"/>
          <w:sz w:val="32"/>
        </w:rPr>
        <w:t>（七）经营数据与市场地位</w:t>
      </w:r>
    </w:p>
    <w:p>
      <w:pPr>
        <w:spacing w:lineRule="exact" w:line="600" w:before="0" w:after="0"/>
        <w:ind w:firstLine="420"/>
        <w:jc w:val="both"/>
      </w:pPr>
      <w:r>
        <w:rPr>
          <w:rFonts w:ascii="仿宋_GB2312" w:hAnsi="仿宋_GB2312" w:eastAsia="仿宋_GB2312"/>
          <w:b w:val="0"/>
          <w:color w:val="000000"/>
          <w:sz w:val="32"/>
        </w:rPr>
        <w:t>规模指标方面，2025年公司实现营业总收入87.55亿元，位居国内原料药行业前列。据中证智能财讯统计，截至2025年末，公司三年营业总收入复合增长率为5.28%，在原料药行业已披露2025年数据的8家公司中排名第2；三年净利润复合年增长率为-10.99%，排名6/8。这一组对比清晰地刻画出公司"规模增长稳健、盈利质量承压"的现状。</w:t>
      </w:r>
    </w:p>
    <w:p>
      <w:pPr>
        <w:spacing w:lineRule="exact" w:line="600" w:before="0" w:after="0"/>
        <w:ind w:firstLine="420"/>
        <w:jc w:val="both"/>
      </w:pPr>
      <w:r>
        <w:rPr>
          <w:rFonts w:ascii="仿宋_GB2312" w:hAnsi="仿宋_GB2312" w:eastAsia="仿宋_GB2312"/>
          <w:b w:val="0"/>
          <w:color w:val="000000"/>
          <w:sz w:val="32"/>
        </w:rPr>
        <w:t>人均效率方面，截至2025年末公司员工总数为7,240人，同比减少0.77%，人均创收120.92万元、人均创利4.00万元；2024年末员工总数为7,296人，人均创收116.04万元、人均创利6.44万元。人均创收提升而人均创利下滑，进一步验证了盈利能力承压的判断。</w:t>
      </w:r>
    </w:p>
    <w:p>
      <w:pPr>
        <w:spacing w:lineRule="exact" w:line="600" w:before="0" w:after="0"/>
        <w:ind w:firstLine="420"/>
        <w:jc w:val="both"/>
      </w:pPr>
      <w:r>
        <w:rPr>
          <w:rFonts w:ascii="仿宋_GB2312" w:hAnsi="仿宋_GB2312" w:eastAsia="仿宋_GB2312"/>
          <w:b w:val="0"/>
          <w:color w:val="000000"/>
          <w:sz w:val="32"/>
        </w:rPr>
        <w:t>市场地位方面，公司在解热镇痛类原料药领域具有全球性影响力，是该细分品类重要的定价参与者之一；在国内普药制剂领域，公司以品种齐全、供应稳定、价格可控见长，是集采体系中的重要供应方。公司未在定期报告中披露具体市场占有率数值，本报告不作量化推测。</w:t>
      </w:r>
    </w:p>
    <w:p>
      <w:pPr>
        <w:spacing w:lineRule="exact" w:line="600" w:before="120" w:after="120"/>
        <w:ind w:firstLine="420"/>
        <w:jc w:val="left"/>
      </w:pPr>
      <w:r>
        <w:rPr>
          <w:rFonts w:ascii="黑体" w:hAnsi="黑体" w:eastAsia="黑体"/>
          <w:b w:val="0"/>
          <w:color w:val="000000"/>
          <w:sz w:val="32"/>
        </w:rPr>
        <w:t>三、财务报表分析</w:t>
      </w:r>
    </w:p>
    <w:p>
      <w:pPr>
        <w:spacing w:lineRule="exact" w:line="600" w:before="120" w:after="120"/>
        <w:ind w:firstLine="420"/>
        <w:jc w:val="left"/>
      </w:pPr>
      <w:r>
        <w:rPr>
          <w:rFonts w:ascii="楷体_GB2312" w:hAnsi="楷体_GB2312" w:eastAsia="楷体_GB2312"/>
          <w:b w:val="0"/>
          <w:color w:val="000000"/>
          <w:sz w:val="32"/>
        </w:rPr>
        <w:t>（一）近三年主要会计数据</w:t>
      </w:r>
    </w:p>
    <w:p>
      <w:pPr>
        <w:spacing w:lineRule="exact" w:line="600" w:before="0" w:after="0"/>
        <w:ind w:firstLine="420"/>
        <w:jc w:val="both"/>
      </w:pPr>
      <w:r>
        <w:rPr>
          <w:rFonts w:ascii="仿宋_GB2312" w:hAnsi="仿宋_GB2312" w:eastAsia="仿宋_GB2312"/>
          <w:b w:val="0"/>
          <w:color w:val="000000"/>
          <w:sz w:val="32"/>
        </w:rPr>
        <w:t>下表列示公司2023—2025年经审计的主要会计数据（单位：亿元人民币，按中国企业会计准则口径）：</w:t>
      </w:r>
    </w:p>
    <w:tbl>
      <w:tblPr>
        <w:tblStyle w:val="TableGrid"/>
        <w:tblW w:type="auto" w:w="0"/>
        <w:jc w:val="center"/>
        <w:tblLook w:firstColumn="1" w:firstRow="1" w:lastColumn="0" w:lastRow="0" w:noHBand="0" w:noVBand="1" w:val="04A0"/>
      </w:tblPr>
      <w:tblGrid>
        <w:gridCol w:w="2211"/>
        <w:gridCol w:w="2211"/>
        <w:gridCol w:w="2211"/>
        <w:gridCol w:w="2211"/>
      </w:tblGrid>
      <w:tr>
        <w:tc>
          <w:tcPr>
            <w:tcW w:type="dxa" w:w="2608"/>
          </w:tcPr>
          <w:p>
            <w:pPr>
              <w:spacing w:lineRule="exact" w:line="600"/>
              <w:jc w:val="center"/>
            </w:pPr>
            <w:r/>
            <w:r>
              <w:rPr>
                <w:rFonts w:ascii="黑体" w:hAnsi="黑体" w:eastAsia="黑体"/>
                <w:b/>
                <w:color w:val="000000"/>
                <w:sz w:val="32"/>
              </w:rPr>
              <w:t>项目</w:t>
            </w:r>
          </w:p>
        </w:tc>
        <w:tc>
          <w:tcPr>
            <w:tcW w:type="dxa" w:w="1701"/>
          </w:tcPr>
          <w:p>
            <w:pPr>
              <w:spacing w:lineRule="exact" w:line="600"/>
              <w:jc w:val="center"/>
            </w:pPr>
            <w:r/>
            <w:r>
              <w:rPr>
                <w:rFonts w:ascii="黑体" w:hAnsi="黑体" w:eastAsia="黑体"/>
                <w:b/>
                <w:color w:val="000000"/>
                <w:sz w:val="32"/>
              </w:rPr>
              <w:t>2025年</w:t>
            </w:r>
          </w:p>
        </w:tc>
        <w:tc>
          <w:tcPr>
            <w:tcW w:type="dxa" w:w="1701"/>
          </w:tcPr>
          <w:p>
            <w:pPr>
              <w:spacing w:lineRule="exact" w:line="600"/>
              <w:jc w:val="center"/>
            </w:pPr>
            <w:r/>
            <w:r>
              <w:rPr>
                <w:rFonts w:ascii="黑体" w:hAnsi="黑体" w:eastAsia="黑体"/>
                <w:b/>
                <w:color w:val="000000"/>
                <w:sz w:val="32"/>
              </w:rPr>
              <w:t>2024年</w:t>
            </w:r>
          </w:p>
        </w:tc>
        <w:tc>
          <w:tcPr>
            <w:tcW w:type="dxa" w:w="1701"/>
          </w:tcPr>
          <w:p>
            <w:pPr>
              <w:spacing w:lineRule="exact" w:line="600"/>
              <w:jc w:val="center"/>
            </w:pPr>
            <w:r/>
            <w:r>
              <w:rPr>
                <w:rFonts w:ascii="黑体" w:hAnsi="黑体" w:eastAsia="黑体"/>
                <w:b/>
                <w:color w:val="000000"/>
                <w:sz w:val="32"/>
              </w:rPr>
              <w:t>2023年</w:t>
            </w:r>
          </w:p>
        </w:tc>
      </w:tr>
      <w:tr>
        <w:tc>
          <w:tcPr>
            <w:tcW w:type="dxa" w:w="2608"/>
          </w:tcPr>
          <w:p>
            <w:pPr>
              <w:spacing w:lineRule="exact" w:line="600"/>
              <w:jc w:val="center"/>
            </w:pPr>
            <w:r/>
            <w:r>
              <w:rPr>
                <w:rFonts w:ascii="仿宋_GB2312" w:hAnsi="仿宋_GB2312" w:eastAsia="仿宋_GB2312"/>
                <w:b w:val="0"/>
                <w:color w:val="000000"/>
                <w:sz w:val="32"/>
              </w:rPr>
              <w:t>营业收入</w:t>
            </w:r>
          </w:p>
        </w:tc>
        <w:tc>
          <w:tcPr>
            <w:tcW w:type="dxa" w:w="1701"/>
          </w:tcPr>
          <w:p>
            <w:pPr>
              <w:spacing w:lineRule="exact" w:line="600"/>
              <w:jc w:val="center"/>
            </w:pPr>
            <w:r/>
            <w:r>
              <w:rPr>
                <w:rFonts w:ascii="仿宋_GB2312" w:hAnsi="仿宋_GB2312" w:eastAsia="仿宋_GB2312"/>
                <w:b w:val="0"/>
                <w:color w:val="000000"/>
                <w:sz w:val="32"/>
              </w:rPr>
              <w:t>87.55</w:t>
            </w:r>
          </w:p>
        </w:tc>
        <w:tc>
          <w:tcPr>
            <w:tcW w:type="dxa" w:w="1701"/>
          </w:tcPr>
          <w:p>
            <w:pPr>
              <w:spacing w:lineRule="exact" w:line="600"/>
              <w:jc w:val="center"/>
            </w:pPr>
            <w:r/>
            <w:r>
              <w:rPr>
                <w:rFonts w:ascii="仿宋_GB2312" w:hAnsi="仿宋_GB2312" w:eastAsia="仿宋_GB2312"/>
                <w:b w:val="0"/>
                <w:color w:val="000000"/>
                <w:sz w:val="32"/>
              </w:rPr>
              <w:t>84.66</w:t>
            </w:r>
          </w:p>
        </w:tc>
        <w:tc>
          <w:tcPr>
            <w:tcW w:type="dxa" w:w="1701"/>
          </w:tcPr>
          <w:p>
            <w:pPr>
              <w:spacing w:lineRule="exact" w:line="600"/>
              <w:jc w:val="center"/>
            </w:pPr>
            <w:r/>
            <w:r>
              <w:rPr>
                <w:rFonts w:ascii="仿宋_GB2312" w:hAnsi="仿宋_GB2312" w:eastAsia="仿宋_GB2312"/>
                <w:b w:val="0"/>
                <w:color w:val="000000"/>
                <w:sz w:val="32"/>
              </w:rPr>
              <w:t>81.01</w:t>
            </w:r>
          </w:p>
        </w:tc>
      </w:tr>
      <w:tr>
        <w:tc>
          <w:tcPr>
            <w:tcW w:type="dxa" w:w="2608"/>
          </w:tcPr>
          <w:p>
            <w:pPr>
              <w:spacing w:lineRule="exact" w:line="600"/>
              <w:jc w:val="center"/>
            </w:pPr>
            <w:r/>
            <w:r>
              <w:rPr>
                <w:rFonts w:ascii="仿宋_GB2312" w:hAnsi="仿宋_GB2312" w:eastAsia="仿宋_GB2312"/>
                <w:b w:val="0"/>
                <w:color w:val="000000"/>
                <w:sz w:val="32"/>
              </w:rPr>
              <w:t>利润总额</w:t>
            </w:r>
          </w:p>
        </w:tc>
        <w:tc>
          <w:tcPr>
            <w:tcW w:type="dxa" w:w="1701"/>
          </w:tcPr>
          <w:p>
            <w:pPr>
              <w:spacing w:lineRule="exact" w:line="600"/>
              <w:jc w:val="center"/>
            </w:pPr>
            <w:r/>
            <w:r>
              <w:rPr>
                <w:rFonts w:ascii="仿宋_GB2312" w:hAnsi="仿宋_GB2312" w:eastAsia="仿宋_GB2312"/>
                <w:b w:val="0"/>
                <w:color w:val="000000"/>
                <w:sz w:val="32"/>
              </w:rPr>
              <w:t>3.59</w:t>
            </w:r>
          </w:p>
        </w:tc>
        <w:tc>
          <w:tcPr>
            <w:tcW w:type="dxa" w:w="1701"/>
          </w:tcPr>
          <w:p>
            <w:pPr>
              <w:spacing w:lineRule="exact" w:line="600"/>
              <w:jc w:val="center"/>
            </w:pPr>
            <w:r/>
            <w:r>
              <w:rPr>
                <w:rFonts w:ascii="仿宋_GB2312" w:hAnsi="仿宋_GB2312" w:eastAsia="仿宋_GB2312"/>
                <w:b w:val="0"/>
                <w:color w:val="000000"/>
                <w:sz w:val="32"/>
              </w:rPr>
              <w:t>5.34</w:t>
            </w:r>
          </w:p>
        </w:tc>
        <w:tc>
          <w:tcPr>
            <w:tcW w:type="dxa" w:w="1701"/>
          </w:tcPr>
          <w:p>
            <w:pPr>
              <w:spacing w:lineRule="exact" w:line="600"/>
              <w:jc w:val="center"/>
            </w:pPr>
            <w:r/>
            <w:r>
              <w:rPr>
                <w:rFonts w:ascii="仿宋_GB2312" w:hAnsi="仿宋_GB2312" w:eastAsia="仿宋_GB2312"/>
                <w:b w:val="0"/>
                <w:color w:val="000000"/>
                <w:sz w:val="32"/>
              </w:rPr>
              <w:t>5.33</w:t>
            </w:r>
          </w:p>
        </w:tc>
      </w:tr>
      <w:tr>
        <w:tc>
          <w:tcPr>
            <w:tcW w:type="dxa" w:w="2608"/>
          </w:tcPr>
          <w:p>
            <w:pPr>
              <w:spacing w:lineRule="exact" w:line="600"/>
              <w:jc w:val="center"/>
            </w:pPr>
            <w:r/>
            <w:r>
              <w:rPr>
                <w:rFonts w:ascii="仿宋_GB2312" w:hAnsi="仿宋_GB2312" w:eastAsia="仿宋_GB2312"/>
                <w:b w:val="0"/>
                <w:color w:val="000000"/>
                <w:sz w:val="32"/>
              </w:rPr>
              <w:t>净利润</w:t>
            </w:r>
          </w:p>
        </w:tc>
        <w:tc>
          <w:tcPr>
            <w:tcW w:type="dxa" w:w="1701"/>
          </w:tcPr>
          <w:p>
            <w:pPr>
              <w:spacing w:lineRule="exact" w:line="600"/>
              <w:jc w:val="center"/>
            </w:pPr>
            <w:r/>
            <w:r>
              <w:rPr>
                <w:rFonts w:ascii="仿宋_GB2312" w:hAnsi="仿宋_GB2312" w:eastAsia="仿宋_GB2312"/>
                <w:b w:val="0"/>
                <w:color w:val="000000"/>
                <w:sz w:val="32"/>
              </w:rPr>
              <w:t>3.06</w:t>
            </w:r>
          </w:p>
        </w:tc>
        <w:tc>
          <w:tcPr>
            <w:tcW w:type="dxa" w:w="1701"/>
          </w:tcPr>
          <w:p>
            <w:pPr>
              <w:spacing w:lineRule="exact" w:line="600"/>
              <w:jc w:val="center"/>
            </w:pPr>
            <w:r/>
            <w:r>
              <w:rPr>
                <w:rFonts w:ascii="仿宋_GB2312" w:hAnsi="仿宋_GB2312" w:eastAsia="仿宋_GB2312"/>
                <w:b w:val="0"/>
                <w:color w:val="000000"/>
                <w:sz w:val="32"/>
              </w:rPr>
              <w:t>4.87</w:t>
            </w:r>
          </w:p>
        </w:tc>
        <w:tc>
          <w:tcPr>
            <w:tcW w:type="dxa" w:w="1701"/>
          </w:tcPr>
          <w:p>
            <w:pPr>
              <w:spacing w:lineRule="exact" w:line="600"/>
              <w:jc w:val="center"/>
            </w:pPr>
            <w:r/>
            <w:r>
              <w:rPr>
                <w:rFonts w:ascii="仿宋_GB2312" w:hAnsi="仿宋_GB2312" w:eastAsia="仿宋_GB2312"/>
                <w:b w:val="0"/>
                <w:color w:val="000000"/>
                <w:sz w:val="32"/>
              </w:rPr>
              <w:t>5.06</w:t>
            </w:r>
          </w:p>
        </w:tc>
      </w:tr>
      <w:tr>
        <w:tc>
          <w:tcPr>
            <w:tcW w:type="dxa" w:w="2608"/>
          </w:tcPr>
          <w:p>
            <w:pPr>
              <w:spacing w:lineRule="exact" w:line="600"/>
              <w:jc w:val="center"/>
            </w:pPr>
            <w:r/>
            <w:r>
              <w:rPr>
                <w:rFonts w:ascii="仿宋_GB2312" w:hAnsi="仿宋_GB2312" w:eastAsia="仿宋_GB2312"/>
                <w:b w:val="0"/>
                <w:color w:val="000000"/>
                <w:sz w:val="32"/>
              </w:rPr>
              <w:t>归母净利润</w:t>
            </w:r>
          </w:p>
        </w:tc>
        <w:tc>
          <w:tcPr>
            <w:tcW w:type="dxa" w:w="1701"/>
          </w:tcPr>
          <w:p>
            <w:pPr>
              <w:spacing w:lineRule="exact" w:line="600"/>
              <w:jc w:val="center"/>
            </w:pPr>
            <w:r/>
            <w:r>
              <w:rPr>
                <w:rFonts w:ascii="仿宋_GB2312" w:hAnsi="仿宋_GB2312" w:eastAsia="仿宋_GB2312"/>
                <w:b w:val="0"/>
                <w:color w:val="000000"/>
                <w:sz w:val="32"/>
              </w:rPr>
              <w:t>2.90</w:t>
            </w:r>
          </w:p>
        </w:tc>
        <w:tc>
          <w:tcPr>
            <w:tcW w:type="dxa" w:w="1701"/>
          </w:tcPr>
          <w:p>
            <w:pPr>
              <w:spacing w:lineRule="exact" w:line="600"/>
              <w:jc w:val="center"/>
            </w:pPr>
            <w:r/>
            <w:r>
              <w:rPr>
                <w:rFonts w:ascii="仿宋_GB2312" w:hAnsi="仿宋_GB2312" w:eastAsia="仿宋_GB2312"/>
                <w:b w:val="0"/>
                <w:color w:val="000000"/>
                <w:sz w:val="32"/>
              </w:rPr>
              <w:t>4.70</w:t>
            </w:r>
          </w:p>
        </w:tc>
        <w:tc>
          <w:tcPr>
            <w:tcW w:type="dxa" w:w="1701"/>
          </w:tcPr>
          <w:p>
            <w:pPr>
              <w:spacing w:lineRule="exact" w:line="600"/>
              <w:jc w:val="center"/>
            </w:pPr>
            <w:r/>
            <w:r>
              <w:rPr>
                <w:rFonts w:ascii="仿宋_GB2312" w:hAnsi="仿宋_GB2312" w:eastAsia="仿宋_GB2312"/>
                <w:b w:val="0"/>
                <w:color w:val="000000"/>
                <w:sz w:val="32"/>
              </w:rPr>
              <w:t>4.97</w:t>
            </w:r>
          </w:p>
        </w:tc>
      </w:tr>
      <w:tr>
        <w:tc>
          <w:tcPr>
            <w:tcW w:type="dxa" w:w="2608"/>
          </w:tcPr>
          <w:p>
            <w:pPr>
              <w:spacing w:lineRule="exact" w:line="600"/>
              <w:jc w:val="center"/>
            </w:pPr>
            <w:r/>
            <w:r>
              <w:rPr>
                <w:rFonts w:ascii="仿宋_GB2312" w:hAnsi="仿宋_GB2312" w:eastAsia="仿宋_GB2312"/>
                <w:b w:val="0"/>
                <w:color w:val="000000"/>
                <w:sz w:val="32"/>
              </w:rPr>
              <w:t>扣非归母净利润</w:t>
            </w:r>
          </w:p>
        </w:tc>
        <w:tc>
          <w:tcPr>
            <w:tcW w:type="dxa" w:w="1701"/>
          </w:tcPr>
          <w:p>
            <w:pPr>
              <w:spacing w:lineRule="exact" w:line="600"/>
              <w:jc w:val="center"/>
            </w:pPr>
            <w:r/>
            <w:r>
              <w:rPr>
                <w:rFonts w:ascii="仿宋_GB2312" w:hAnsi="仿宋_GB2312" w:eastAsia="仿宋_GB2312"/>
                <w:b w:val="0"/>
                <w:color w:val="000000"/>
                <w:sz w:val="32"/>
              </w:rPr>
              <w:t>2.68</w:t>
            </w:r>
          </w:p>
        </w:tc>
        <w:tc>
          <w:tcPr>
            <w:tcW w:type="dxa" w:w="1701"/>
          </w:tcPr>
          <w:p>
            <w:pPr>
              <w:spacing w:lineRule="exact" w:line="600"/>
              <w:jc w:val="center"/>
            </w:pPr>
            <w:r/>
            <w:r>
              <w:rPr>
                <w:rFonts w:ascii="仿宋_GB2312" w:hAnsi="仿宋_GB2312" w:eastAsia="仿宋_GB2312"/>
                <w:b w:val="0"/>
                <w:color w:val="000000"/>
                <w:sz w:val="32"/>
              </w:rPr>
              <w:t>4.48</w:t>
            </w:r>
          </w:p>
        </w:tc>
        <w:tc>
          <w:tcPr>
            <w:tcW w:type="dxa" w:w="1701"/>
          </w:tcPr>
          <w:p>
            <w:pPr>
              <w:spacing w:lineRule="exact" w:line="600"/>
              <w:jc w:val="center"/>
            </w:pPr>
            <w:r/>
            <w:r>
              <w:rPr>
                <w:rFonts w:ascii="仿宋_GB2312" w:hAnsi="仿宋_GB2312" w:eastAsia="仿宋_GB2312"/>
                <w:b w:val="0"/>
                <w:color w:val="000000"/>
                <w:sz w:val="32"/>
              </w:rPr>
              <w:t>4.62</w:t>
            </w:r>
          </w:p>
        </w:tc>
      </w:tr>
      <w:tr>
        <w:tc>
          <w:tcPr>
            <w:tcW w:type="dxa" w:w="2608"/>
          </w:tcPr>
          <w:p>
            <w:pPr>
              <w:spacing w:lineRule="exact" w:line="600"/>
              <w:jc w:val="center"/>
            </w:pPr>
            <w:r/>
            <w:r>
              <w:rPr>
                <w:rFonts w:ascii="仿宋_GB2312" w:hAnsi="仿宋_GB2312" w:eastAsia="仿宋_GB2312"/>
                <w:b w:val="0"/>
                <w:color w:val="000000"/>
                <w:sz w:val="32"/>
              </w:rPr>
              <w:t>经营活动现金流量净额</w:t>
            </w:r>
          </w:p>
        </w:tc>
        <w:tc>
          <w:tcPr>
            <w:tcW w:type="dxa" w:w="1701"/>
          </w:tcPr>
          <w:p>
            <w:pPr>
              <w:spacing w:lineRule="exact" w:line="600"/>
              <w:jc w:val="center"/>
            </w:pPr>
            <w:r/>
            <w:r>
              <w:rPr>
                <w:rFonts w:ascii="仿宋_GB2312" w:hAnsi="仿宋_GB2312" w:eastAsia="仿宋_GB2312"/>
                <w:b w:val="0"/>
                <w:color w:val="000000"/>
                <w:sz w:val="32"/>
              </w:rPr>
              <w:t>5.34</w:t>
            </w:r>
          </w:p>
        </w:tc>
        <w:tc>
          <w:tcPr>
            <w:tcW w:type="dxa" w:w="1701"/>
          </w:tcPr>
          <w:p>
            <w:pPr>
              <w:spacing w:lineRule="exact" w:line="600"/>
              <w:jc w:val="center"/>
            </w:pPr>
            <w:r/>
            <w:r>
              <w:rPr>
                <w:rFonts w:ascii="仿宋_GB2312" w:hAnsi="仿宋_GB2312" w:eastAsia="仿宋_GB2312"/>
                <w:b w:val="0"/>
                <w:color w:val="000000"/>
                <w:sz w:val="32"/>
              </w:rPr>
              <w:t>3.68</w:t>
            </w:r>
          </w:p>
        </w:tc>
        <w:tc>
          <w:tcPr>
            <w:tcW w:type="dxa" w:w="1701"/>
          </w:tcPr>
          <w:p>
            <w:pPr>
              <w:spacing w:lineRule="exact" w:line="600"/>
              <w:jc w:val="center"/>
            </w:pPr>
            <w:r/>
            <w:r>
              <w:rPr>
                <w:rFonts w:ascii="仿宋_GB2312" w:hAnsi="仿宋_GB2312" w:eastAsia="仿宋_GB2312"/>
                <w:b w:val="0"/>
                <w:color w:val="000000"/>
                <w:sz w:val="32"/>
              </w:rPr>
              <w:t>2.65</w:t>
            </w:r>
          </w:p>
        </w:tc>
      </w:tr>
      <w:tr>
        <w:tc>
          <w:tcPr>
            <w:tcW w:type="dxa" w:w="2608"/>
          </w:tcPr>
          <w:p>
            <w:pPr>
              <w:spacing w:lineRule="exact" w:line="600"/>
              <w:jc w:val="center"/>
            </w:pPr>
            <w:r/>
            <w:r>
              <w:rPr>
                <w:rFonts w:ascii="仿宋_GB2312" w:hAnsi="仿宋_GB2312" w:eastAsia="仿宋_GB2312"/>
                <w:b w:val="0"/>
                <w:color w:val="000000"/>
                <w:sz w:val="32"/>
              </w:rPr>
              <w:t>总资产</w:t>
            </w:r>
          </w:p>
        </w:tc>
        <w:tc>
          <w:tcPr>
            <w:tcW w:type="dxa" w:w="1701"/>
          </w:tcPr>
          <w:p>
            <w:pPr>
              <w:spacing w:lineRule="exact" w:line="600"/>
              <w:jc w:val="center"/>
            </w:pPr>
            <w:r/>
            <w:r>
              <w:rPr>
                <w:rFonts w:ascii="仿宋_GB2312" w:hAnsi="仿宋_GB2312" w:eastAsia="仿宋_GB2312"/>
                <w:b w:val="0"/>
                <w:color w:val="000000"/>
                <w:sz w:val="32"/>
              </w:rPr>
              <w:t>91.86</w:t>
            </w:r>
          </w:p>
        </w:tc>
        <w:tc>
          <w:tcPr>
            <w:tcW w:type="dxa" w:w="1701"/>
          </w:tcPr>
          <w:p>
            <w:pPr>
              <w:spacing w:lineRule="exact" w:line="600"/>
              <w:jc w:val="center"/>
            </w:pPr>
            <w:r/>
            <w:r>
              <w:rPr>
                <w:rFonts w:ascii="仿宋_GB2312" w:hAnsi="仿宋_GB2312" w:eastAsia="仿宋_GB2312"/>
                <w:b w:val="0"/>
                <w:color w:val="000000"/>
                <w:sz w:val="32"/>
              </w:rPr>
              <w:t>90.20</w:t>
            </w:r>
          </w:p>
        </w:tc>
        <w:tc>
          <w:tcPr>
            <w:tcW w:type="dxa" w:w="1701"/>
          </w:tcPr>
          <w:p>
            <w:pPr>
              <w:spacing w:lineRule="exact" w:line="600"/>
              <w:jc w:val="center"/>
            </w:pPr>
            <w:r/>
            <w:r>
              <w:rPr>
                <w:rFonts w:ascii="仿宋_GB2312" w:hAnsi="仿宋_GB2312" w:eastAsia="仿宋_GB2312"/>
                <w:b w:val="0"/>
                <w:color w:val="000000"/>
                <w:sz w:val="32"/>
              </w:rPr>
              <w:t>82.86</w:t>
            </w:r>
          </w:p>
        </w:tc>
      </w:tr>
      <w:tr>
        <w:tc>
          <w:tcPr>
            <w:tcW w:type="dxa" w:w="2608"/>
          </w:tcPr>
          <w:p>
            <w:pPr>
              <w:spacing w:lineRule="exact" w:line="600"/>
              <w:jc w:val="center"/>
            </w:pPr>
            <w:r/>
            <w:r>
              <w:rPr>
                <w:rFonts w:ascii="仿宋_GB2312" w:hAnsi="仿宋_GB2312" w:eastAsia="仿宋_GB2312"/>
                <w:b w:val="0"/>
                <w:color w:val="000000"/>
                <w:sz w:val="32"/>
              </w:rPr>
              <w:t>总负债</w:t>
            </w:r>
          </w:p>
        </w:tc>
        <w:tc>
          <w:tcPr>
            <w:tcW w:type="dxa" w:w="1701"/>
          </w:tcPr>
          <w:p>
            <w:pPr>
              <w:spacing w:lineRule="exact" w:line="600"/>
              <w:jc w:val="center"/>
            </w:pPr>
            <w:r/>
            <w:r>
              <w:rPr>
                <w:rFonts w:ascii="仿宋_GB2312" w:hAnsi="仿宋_GB2312" w:eastAsia="仿宋_GB2312"/>
                <w:b w:val="0"/>
                <w:color w:val="000000"/>
                <w:sz w:val="32"/>
              </w:rPr>
              <w:t>37.30</w:t>
            </w:r>
          </w:p>
        </w:tc>
        <w:tc>
          <w:tcPr>
            <w:tcW w:type="dxa" w:w="1701"/>
          </w:tcPr>
          <w:p>
            <w:pPr>
              <w:spacing w:lineRule="exact" w:line="600"/>
              <w:jc w:val="center"/>
            </w:pPr>
            <w:r/>
            <w:r>
              <w:rPr>
                <w:rFonts w:ascii="仿宋_GB2312" w:hAnsi="仿宋_GB2312" w:eastAsia="仿宋_GB2312"/>
                <w:b w:val="0"/>
                <w:color w:val="000000"/>
                <w:sz w:val="32"/>
              </w:rPr>
              <w:t>38.02</w:t>
            </w:r>
          </w:p>
        </w:tc>
        <w:tc>
          <w:tcPr>
            <w:tcW w:type="dxa" w:w="1701"/>
          </w:tcPr>
          <w:p>
            <w:pPr>
              <w:spacing w:lineRule="exact" w:line="600"/>
              <w:jc w:val="center"/>
            </w:pPr>
            <w:r/>
            <w:r>
              <w:rPr>
                <w:rFonts w:ascii="仿宋_GB2312" w:hAnsi="仿宋_GB2312" w:eastAsia="仿宋_GB2312"/>
                <w:b w:val="0"/>
                <w:color w:val="000000"/>
                <w:sz w:val="32"/>
              </w:rPr>
              <w:t>35.10</w:t>
            </w:r>
          </w:p>
        </w:tc>
      </w:tr>
      <w:tr>
        <w:tc>
          <w:tcPr>
            <w:tcW w:type="dxa" w:w="2608"/>
          </w:tcPr>
          <w:p>
            <w:pPr>
              <w:spacing w:lineRule="exact" w:line="600"/>
              <w:jc w:val="center"/>
            </w:pPr>
            <w:r/>
            <w:r>
              <w:rPr>
                <w:rFonts w:ascii="仿宋_GB2312" w:hAnsi="仿宋_GB2312" w:eastAsia="仿宋_GB2312"/>
                <w:b w:val="0"/>
                <w:color w:val="000000"/>
                <w:sz w:val="32"/>
              </w:rPr>
              <w:t>归母净资产</w:t>
            </w:r>
          </w:p>
        </w:tc>
        <w:tc>
          <w:tcPr>
            <w:tcW w:type="dxa" w:w="1701"/>
          </w:tcPr>
          <w:p>
            <w:pPr>
              <w:spacing w:lineRule="exact" w:line="600"/>
              <w:jc w:val="center"/>
            </w:pPr>
            <w:r/>
            <w:r>
              <w:rPr>
                <w:rFonts w:ascii="仿宋_GB2312" w:hAnsi="仿宋_GB2312" w:eastAsia="仿宋_GB2312"/>
                <w:b w:val="0"/>
                <w:color w:val="000000"/>
                <w:sz w:val="32"/>
              </w:rPr>
              <w:t>52.09</w:t>
            </w:r>
          </w:p>
        </w:tc>
        <w:tc>
          <w:tcPr>
            <w:tcW w:type="dxa" w:w="1701"/>
          </w:tcPr>
          <w:p>
            <w:pPr>
              <w:spacing w:lineRule="exact" w:line="600"/>
              <w:jc w:val="center"/>
            </w:pPr>
            <w:r/>
            <w:r>
              <w:rPr>
                <w:rFonts w:ascii="仿宋_GB2312" w:hAnsi="仿宋_GB2312" w:eastAsia="仿宋_GB2312"/>
                <w:b w:val="0"/>
                <w:color w:val="000000"/>
                <w:sz w:val="32"/>
              </w:rPr>
              <w:t>49.92</w:t>
            </w:r>
          </w:p>
        </w:tc>
        <w:tc>
          <w:tcPr>
            <w:tcW w:type="dxa" w:w="1701"/>
          </w:tcPr>
          <w:p>
            <w:pPr>
              <w:spacing w:lineRule="exact" w:line="600"/>
              <w:jc w:val="center"/>
            </w:pPr>
            <w:r/>
            <w:r>
              <w:rPr>
                <w:rFonts w:ascii="仿宋_GB2312" w:hAnsi="仿宋_GB2312" w:eastAsia="仿宋_GB2312"/>
                <w:b w:val="0"/>
                <w:color w:val="000000"/>
                <w:sz w:val="32"/>
              </w:rPr>
              <w:t>45.53</w:t>
            </w:r>
          </w:p>
        </w:tc>
      </w:tr>
    </w:tbl>
    <w:p>
      <w:pPr>
        <w:spacing w:lineRule="exact" w:line="600" w:before="0" w:after="0"/>
        <w:ind w:firstLine="420"/>
        <w:jc w:val="both"/>
      </w:pPr>
      <w:r>
        <w:rPr>
          <w:rFonts w:ascii="仿宋_GB2312" w:hAnsi="仿宋_GB2312" w:eastAsia="仿宋_GB2312"/>
          <w:b w:val="0"/>
          <w:color w:val="000000"/>
          <w:sz w:val="32"/>
        </w:rPr>
        <w:t>主要财务指标方面：2025年基本每股收益0.42元（2024年0.69元、2023年0.74元）；加权平均净资产收益率5.66%（2024年9.79%、2023年11.41%）；销售毛利率18.78%（2024年24.11%）；销售净利率3.50%（2024年5.75%）；资产负债率40.61%（2024年42.15%）。</w:t>
      </w:r>
    </w:p>
    <w:p>
      <w:pPr>
        <w:spacing w:lineRule="exact" w:line="600" w:before="120" w:after="120"/>
        <w:ind w:firstLine="420"/>
        <w:jc w:val="left"/>
      </w:pPr>
      <w:r>
        <w:rPr>
          <w:rFonts w:ascii="楷体_GB2312" w:hAnsi="楷体_GB2312" w:eastAsia="楷体_GB2312"/>
          <w:b w:val="0"/>
          <w:color w:val="000000"/>
          <w:sz w:val="32"/>
        </w:rPr>
        <w:t>（二）盈利分析</w:t>
      </w:r>
    </w:p>
    <w:p>
      <w:pPr>
        <w:spacing w:lineRule="exact" w:line="600" w:before="0" w:after="0"/>
        <w:ind w:firstLine="420"/>
        <w:jc w:val="both"/>
      </w:pPr>
      <w:r>
        <w:rPr>
          <w:rFonts w:ascii="仿宋_GB2312" w:hAnsi="仿宋_GB2312" w:eastAsia="仿宋_GB2312"/>
          <w:b w:val="0"/>
          <w:color w:val="000000"/>
          <w:sz w:val="32"/>
        </w:rPr>
        <w:t>2025年公司营业收入87.55亿元，同比增长3.41%，连续三年保持正增长，收入端韧性较好。但利润总额3.59亿元，同比下降32.74%；净利润3.06亿元，同比下降37.07%；归母净利润2.90亿元，同比下降38.32%；扣非归母净利润2.68亿元，同比下降40.10%。扣非净利润降幅大于归母净利润降幅，说明利润下滑主要源自主营业务本身，而非非经常性损益扰动。</w:t>
      </w:r>
    </w:p>
    <w:p>
      <w:pPr>
        <w:spacing w:lineRule="exact" w:line="600" w:before="0" w:after="0"/>
        <w:ind w:firstLine="420"/>
        <w:jc w:val="both"/>
      </w:pPr>
      <w:r>
        <w:rPr>
          <w:rFonts w:ascii="仿宋_GB2312" w:hAnsi="仿宋_GB2312" w:eastAsia="仿宋_GB2312"/>
          <w:b w:val="0"/>
          <w:color w:val="000000"/>
          <w:sz w:val="32"/>
        </w:rPr>
        <w:t>毛利率是本轮盈利下滑的主因。2025年销售毛利率18.78%，较2024年的24.11%下降5.33个百分点，而2024年已较2023年下降5.41个百分点，连续两年大幅收窄。分季度看，2025年第四季度毛利率仅17.47%，同比下降9.05个百分点，四季度净利率降至1.98%（同比下降5.60个百分点），单季盈利接近盈亏平衡线，显示成本压力在年末进一步加剧。</w:t>
      </w:r>
    </w:p>
    <w:p>
      <w:pPr>
        <w:spacing w:lineRule="exact" w:line="600" w:before="0" w:after="0"/>
        <w:ind w:firstLine="420"/>
        <w:jc w:val="both"/>
      </w:pPr>
      <w:r>
        <w:rPr>
          <w:rFonts w:ascii="仿宋_GB2312" w:hAnsi="仿宋_GB2312" w:eastAsia="仿宋_GB2312"/>
          <w:b w:val="0"/>
          <w:color w:val="000000"/>
          <w:sz w:val="32"/>
        </w:rPr>
        <w:t>费用端表现相对积极。2025年公司期间费用12.15亿元，同比减少2.32亿元；期间费用率13.88%，同比下降3.21个百分点，反映公司在降本增效方面取得成效。但费用节约的幅度不足以抵消毛利率的大幅下滑，最终盈利仍显著回落。投入资本回报率（ROIC）2025年为4.86%，较上年下降3.02个百分点。</w:t>
      </w:r>
    </w:p>
    <w:p>
      <w:pPr>
        <w:spacing w:lineRule="exact" w:line="600" w:before="120" w:after="120"/>
        <w:ind w:firstLine="420"/>
        <w:jc w:val="left"/>
      </w:pPr>
      <w:r>
        <w:rPr>
          <w:rFonts w:ascii="楷体_GB2312" w:hAnsi="楷体_GB2312" w:eastAsia="楷体_GB2312"/>
          <w:b w:val="0"/>
          <w:color w:val="000000"/>
          <w:sz w:val="32"/>
        </w:rPr>
        <w:t>（三）资产质量</w:t>
      </w:r>
    </w:p>
    <w:p>
      <w:pPr>
        <w:spacing w:lineRule="exact" w:line="600" w:before="0" w:after="0"/>
        <w:ind w:firstLine="420"/>
        <w:jc w:val="both"/>
      </w:pPr>
      <w:r>
        <w:rPr>
          <w:rFonts w:ascii="仿宋_GB2312" w:hAnsi="仿宋_GB2312" w:eastAsia="仿宋_GB2312"/>
          <w:b w:val="0"/>
          <w:color w:val="000000"/>
          <w:sz w:val="32"/>
        </w:rPr>
        <w:t>截至2025年末，公司总资产91.86亿元，同比增长1.84%，资产规模基本稳定；归属于上市公司股东的净资产52.09亿元，同比增长4.35%，净资产稳步增厚。每股净资产7.55元，每股未分配利润3.84元，资产积累质量良好。</w:t>
      </w:r>
    </w:p>
    <w:p>
      <w:pPr>
        <w:spacing w:lineRule="exact" w:line="600" w:before="0" w:after="0"/>
        <w:ind w:firstLine="420"/>
        <w:jc w:val="both"/>
      </w:pPr>
      <w:r>
        <w:rPr>
          <w:rFonts w:ascii="仿宋_GB2312" w:hAnsi="仿宋_GB2312" w:eastAsia="仿宋_GB2312"/>
          <w:b w:val="0"/>
          <w:color w:val="000000"/>
          <w:sz w:val="32"/>
        </w:rPr>
        <w:t>营运效率方面，2025年总资产周转率0.96次，应收账款周转率10.12次，存货周转率5.49次，流动资产周转率2.26次。对比2024年（总资产周转率0.98次、存货周转率4.97次、应收账款周转率10.80次、存货周转天数72.45天、应收账款周转天数33.34天），存货周转效率有所提升，应收账款周转略有放缓，整体营运效率维持在化学制药行业中等偏上水平。</w:t>
      </w:r>
    </w:p>
    <w:p>
      <w:pPr>
        <w:spacing w:lineRule="exact" w:line="600" w:before="0" w:after="0"/>
        <w:ind w:firstLine="420"/>
        <w:jc w:val="both"/>
      </w:pPr>
      <w:r>
        <w:rPr>
          <w:rFonts w:ascii="仿宋_GB2312" w:hAnsi="仿宋_GB2312" w:eastAsia="仿宋_GB2312"/>
          <w:b w:val="0"/>
          <w:color w:val="000000"/>
          <w:sz w:val="32"/>
        </w:rPr>
        <w:t>应收账款周转率超过10次、周转天数约33天，说明公司回款速度较快，客户信用质量整体较好，这与其客户结构中大型商业公司与出口客户占比较高相匹配，是公司资产质量的重要支撑。</w:t>
      </w:r>
    </w:p>
    <w:p>
      <w:pPr>
        <w:spacing w:lineRule="exact" w:line="600" w:before="120" w:after="120"/>
        <w:ind w:firstLine="420"/>
        <w:jc w:val="left"/>
      </w:pPr>
      <w:r>
        <w:rPr>
          <w:rFonts w:ascii="楷体_GB2312" w:hAnsi="楷体_GB2312" w:eastAsia="楷体_GB2312"/>
          <w:b w:val="0"/>
          <w:color w:val="000000"/>
          <w:sz w:val="32"/>
        </w:rPr>
        <w:t>（四）负债与偿债能力</w:t>
      </w:r>
    </w:p>
    <w:p>
      <w:pPr>
        <w:spacing w:lineRule="exact" w:line="600" w:before="0" w:after="0"/>
        <w:ind w:firstLine="420"/>
        <w:jc w:val="both"/>
      </w:pPr>
      <w:r>
        <w:rPr>
          <w:rFonts w:ascii="仿宋_GB2312" w:hAnsi="仿宋_GB2312" w:eastAsia="仿宋_GB2312"/>
          <w:b w:val="0"/>
          <w:color w:val="000000"/>
          <w:sz w:val="32"/>
        </w:rPr>
        <w:t>截至2025年末，公司总负债37.30亿元，同比下降1.90%；资产负债率40.61%，较2024年末的42.15%下降1.54个百分点，杠杆水平温和且呈下降趋势，在化学制药行业中属于稳健区间。产权比率0.68，权益对负债的覆盖充分。</w:t>
      </w:r>
    </w:p>
    <w:p>
      <w:pPr>
        <w:spacing w:lineRule="exact" w:line="600" w:before="0" w:after="0"/>
        <w:ind w:firstLine="420"/>
        <w:jc w:val="both"/>
      </w:pPr>
      <w:r>
        <w:rPr>
          <w:rFonts w:ascii="仿宋_GB2312" w:hAnsi="仿宋_GB2312" w:eastAsia="仿宋_GB2312"/>
          <w:b w:val="0"/>
          <w:color w:val="000000"/>
          <w:sz w:val="32"/>
        </w:rPr>
        <w:t>流动性方面，2025年末流动比率1.43，速动比率0.97，现金比率50.63%。流动比率高于1.4，短期偿债能力有保障；速动比率接近1，考虑到公司存货中原料药与制剂的变现能力较强，整体流动性风险可控。2024年末流动比率1.33、速动比率0.88，2025年两项指标均有改善。</w:t>
      </w:r>
    </w:p>
    <w:p>
      <w:pPr>
        <w:spacing w:lineRule="exact" w:line="600" w:before="0" w:after="0"/>
        <w:ind w:firstLine="420"/>
        <w:jc w:val="both"/>
      </w:pPr>
      <w:r>
        <w:rPr>
          <w:rFonts w:ascii="仿宋_GB2312" w:hAnsi="仿宋_GB2312" w:eastAsia="仿宋_GB2312"/>
          <w:b w:val="0"/>
          <w:color w:val="000000"/>
          <w:sz w:val="32"/>
        </w:rPr>
        <w:t>债务结构方面，2025年末有息负债14.82亿元，有息负债率（有息负债/总负债）39.73%，有息负债占总资产比例约16.1%。以2025年归母净利润2.90亿元与经营活动现金流5.34亿元衡量，有息债务规模处于可承受范围，但在盈利下行周期中利息保障倍数的边际弱化值得关注。</w:t>
      </w:r>
    </w:p>
    <w:p>
      <w:pPr>
        <w:spacing w:lineRule="exact" w:line="600" w:before="120" w:after="120"/>
        <w:ind w:firstLine="420"/>
        <w:jc w:val="left"/>
      </w:pPr>
      <w:r>
        <w:rPr>
          <w:rFonts w:ascii="楷体_GB2312" w:hAnsi="楷体_GB2312" w:eastAsia="楷体_GB2312"/>
          <w:b w:val="0"/>
          <w:color w:val="000000"/>
          <w:sz w:val="32"/>
        </w:rPr>
        <w:t>（五）现金流分析</w:t>
      </w:r>
    </w:p>
    <w:p>
      <w:pPr>
        <w:spacing w:lineRule="exact" w:line="600" w:before="0" w:after="0"/>
        <w:ind w:firstLine="420"/>
        <w:jc w:val="both"/>
      </w:pPr>
      <w:r>
        <w:rPr>
          <w:rFonts w:ascii="仿宋_GB2312" w:hAnsi="仿宋_GB2312" w:eastAsia="仿宋_GB2312"/>
          <w:b w:val="0"/>
          <w:color w:val="000000"/>
          <w:sz w:val="32"/>
        </w:rPr>
        <w:t>现金流是公司2025年财务表现中最具亮点的部分。2025年经营活动产生的现金流量净额5.34亿元，同比增长45.19%；2024年为3.68亿元，同比增长38.58%；2023年为2.65亿元。经营性现金流连续两年高速增长，且2025年经营现金流净额（5.34亿元）显著高于同期净利润（3.06亿元），净利润现金含量达174.25%，盈利质量的"含金量"较高。</w:t>
      </w:r>
    </w:p>
    <w:p>
      <w:pPr>
        <w:spacing w:lineRule="exact" w:line="600" w:before="0" w:after="0"/>
        <w:ind w:firstLine="420"/>
        <w:jc w:val="both"/>
      </w:pPr>
      <w:r>
        <w:rPr>
          <w:rFonts w:ascii="仿宋_GB2312" w:hAnsi="仿宋_GB2312" w:eastAsia="仿宋_GB2312"/>
          <w:b w:val="0"/>
          <w:color w:val="000000"/>
          <w:sz w:val="32"/>
        </w:rPr>
        <w:t>2025年公司营业收入现金比为90.60%，净现比184.11%，每股经营活动现金流0.77元，自由现金流7.81亿元。在净利润大幅下滑的同时，经营现金流逆势增长，主要得益于营运资金管理改善（存货周转加快）与费用管控见效，说明公司"造血"能力并未随账面利润同步恶化，这对债权人和融资机构而言是重要的正向信号。</w:t>
      </w:r>
    </w:p>
    <w:p>
      <w:pPr>
        <w:spacing w:lineRule="exact" w:line="600" w:before="0" w:after="0"/>
        <w:ind w:firstLine="420"/>
        <w:jc w:val="both"/>
      </w:pPr>
      <w:r>
        <w:rPr>
          <w:rFonts w:ascii="仿宋_GB2312" w:hAnsi="仿宋_GB2312" w:eastAsia="仿宋_GB2312"/>
          <w:b w:val="0"/>
          <w:color w:val="000000"/>
          <w:sz w:val="32"/>
        </w:rPr>
        <w:t>投融资现金流方面，2025年投资活动现金流净额-1.04亿元（上年同期-2.12亿元），资本开支强度下降；筹资活动现金流净额-2.91亿元，同比减少4.76亿元，主要为偿还债务与现金分红所致。整体呈现"经营净流入覆盖投资与筹资净流出"的健康形态。</w:t>
      </w:r>
    </w:p>
    <w:p>
      <w:pPr>
        <w:spacing w:lineRule="exact" w:line="600" w:before="120" w:after="120"/>
        <w:ind w:firstLine="420"/>
        <w:jc w:val="left"/>
      </w:pPr>
      <w:r>
        <w:rPr>
          <w:rFonts w:ascii="楷体_GB2312" w:hAnsi="楷体_GB2312" w:eastAsia="楷体_GB2312"/>
          <w:b w:val="0"/>
          <w:color w:val="000000"/>
          <w:sz w:val="32"/>
        </w:rPr>
        <w:t>（六）关键指标横向对标</w:t>
      </w:r>
    </w:p>
    <w:p>
      <w:pPr>
        <w:spacing w:lineRule="exact" w:line="600" w:before="0" w:after="0"/>
        <w:ind w:firstLine="420"/>
        <w:jc w:val="both"/>
      </w:pPr>
      <w:r>
        <w:rPr>
          <w:rFonts w:ascii="仿宋_GB2312" w:hAnsi="仿宋_GB2312" w:eastAsia="仿宋_GB2312"/>
          <w:b w:val="0"/>
          <w:color w:val="000000"/>
          <w:sz w:val="32"/>
        </w:rPr>
        <w:t>与原料药行业可比公司相比，公司呈现"规模居前、增速中上、盈利能力偏弱"的画像。据统计，公司三年营业总收入复合增长率5.28%在已披露2025年数据的8家原料药公司中排名第2，但三年净利润复合年增长率-10.99%排名6/8。2025年销售毛利率18.78%、销售净利率3.50%、ROE 5.66%，均处于行业中下游水平。</w:t>
      </w:r>
    </w:p>
    <w:p>
      <w:pPr>
        <w:spacing w:lineRule="exact" w:line="600" w:before="0" w:after="0"/>
        <w:ind w:firstLine="420"/>
        <w:jc w:val="both"/>
      </w:pPr>
      <w:r>
        <w:rPr>
          <w:rFonts w:ascii="仿宋_GB2312" w:hAnsi="仿宋_GB2312" w:eastAsia="仿宋_GB2312"/>
          <w:b w:val="0"/>
          <w:color w:val="000000"/>
          <w:sz w:val="32"/>
        </w:rPr>
        <w:t>造成这一反差的结构性原因在于：公司收入中低毛利的医药中间体及其他板块占比接近两成（2024年19.59%，毛利率仅1.50%），拉低了整体毛利率；同时制剂业务以普药为主，在集采环境下价格弹性有限。相较之下，公司资产负债率40.61%低于多数同业，现金流指标（净利润现金含量174.25%）显著优于行业均值，财务稳健性构成其相对优势。</w:t>
      </w:r>
    </w:p>
    <w:p>
      <w:pPr>
        <w:spacing w:lineRule="exact" w:line="600" w:before="120" w:after="120"/>
        <w:ind w:firstLine="420"/>
        <w:jc w:val="left"/>
      </w:pPr>
      <w:r>
        <w:rPr>
          <w:rFonts w:ascii="黑体" w:hAnsi="黑体" w:eastAsia="黑体"/>
          <w:b w:val="0"/>
          <w:color w:val="000000"/>
          <w:sz w:val="32"/>
        </w:rPr>
        <w:t>四、公司治理、管理与人力资源</w:t>
      </w:r>
    </w:p>
    <w:p>
      <w:pPr>
        <w:spacing w:lineRule="exact" w:line="600" w:before="120" w:after="120"/>
        <w:ind w:firstLine="420"/>
        <w:jc w:val="left"/>
      </w:pPr>
      <w:r>
        <w:rPr>
          <w:rFonts w:ascii="楷体_GB2312" w:hAnsi="楷体_GB2312" w:eastAsia="楷体_GB2312"/>
          <w:b w:val="0"/>
          <w:color w:val="000000"/>
          <w:sz w:val="32"/>
        </w:rPr>
        <w:t>（一）治理结构</w:t>
      </w:r>
    </w:p>
    <w:p>
      <w:pPr>
        <w:spacing w:lineRule="exact" w:line="600" w:before="0" w:after="0"/>
        <w:ind w:firstLine="420"/>
        <w:jc w:val="both"/>
      </w:pPr>
      <w:r>
        <w:rPr>
          <w:rFonts w:ascii="仿宋_GB2312" w:hAnsi="仿宋_GB2312" w:eastAsia="仿宋_GB2312"/>
          <w:b w:val="0"/>
          <w:color w:val="000000"/>
          <w:sz w:val="32"/>
        </w:rPr>
        <w:t>公司作为"A＋H"两地上市公司，同时受中国证监会、深圳证券交易所与香港联合交易所监管，须同时满足内地《上市公司治理准则》与香港《上市规则》《企业管治守则》的双重要求，治理规范性要求高于一般A股上市公司。公司建立了股东大会、董事会、监事会（或审计委员会）与经理层各司其职、有效制衡的法人治理结构，董事会下设战略、审计、提名、薪酬与考核等专门委员会。</w:t>
      </w:r>
    </w:p>
    <w:p>
      <w:pPr>
        <w:spacing w:lineRule="exact" w:line="600" w:before="0" w:after="0"/>
        <w:ind w:firstLine="420"/>
        <w:jc w:val="both"/>
      </w:pPr>
      <w:r>
        <w:rPr>
          <w:rFonts w:ascii="仿宋_GB2312" w:hAnsi="仿宋_GB2312" w:eastAsia="仿宋_GB2312"/>
          <w:b w:val="0"/>
          <w:color w:val="000000"/>
          <w:sz w:val="32"/>
        </w:rPr>
        <w:t>作为省属国有控股上市公司，公司严格执行"三重一大"决策制度，即重大事项决策、重要干部任免、重大项目投资决策、大额资金使用必须经集体研究决定，党组织在公司治理中发挥把方向、管大局、保落实的领导作用，党建工作要求已写入公司章程。国有股东华鲁控股集团通过派出董事、履行出资人职责的方式参与公司重大决策，同时受山东省国资委的考核与监督。</w:t>
      </w:r>
    </w:p>
    <w:p>
      <w:pPr>
        <w:spacing w:lineRule="exact" w:line="600" w:before="0" w:after="0"/>
        <w:ind w:firstLine="420"/>
        <w:jc w:val="both"/>
      </w:pPr>
      <w:r>
        <w:rPr>
          <w:rFonts w:ascii="仿宋_GB2312" w:hAnsi="仿宋_GB2312" w:eastAsia="仿宋_GB2312"/>
          <w:b w:val="0"/>
          <w:color w:val="000000"/>
          <w:sz w:val="32"/>
        </w:rPr>
        <w:t>信息披露方面，公司境内信息披露报纸为《证券时报》、披露网址为巨潮资讯网，境外通过香港交易所披露易同步发布业绩公告，两地披露内容保持一致性。公司年度报告经审计并出具审计意见，报告期内不存在控股股东及其他关联方非经营性占用资金的情形。</w:t>
      </w:r>
    </w:p>
    <w:p>
      <w:pPr>
        <w:spacing w:lineRule="exact" w:line="600" w:before="120" w:after="120"/>
        <w:ind w:firstLine="420"/>
        <w:jc w:val="left"/>
      </w:pPr>
      <w:r>
        <w:rPr>
          <w:rFonts w:ascii="楷体_GB2312" w:hAnsi="楷体_GB2312" w:eastAsia="楷体_GB2312"/>
          <w:b w:val="0"/>
          <w:color w:val="000000"/>
          <w:sz w:val="32"/>
        </w:rPr>
        <w:t>（二）管理层</w:t>
      </w:r>
    </w:p>
    <w:p>
      <w:pPr>
        <w:spacing w:lineRule="exact" w:line="600" w:before="0" w:after="0"/>
        <w:ind w:firstLine="420"/>
        <w:jc w:val="both"/>
      </w:pPr>
      <w:r>
        <w:rPr>
          <w:rFonts w:ascii="仿宋_GB2312" w:hAnsi="仿宋_GB2312" w:eastAsia="仿宋_GB2312"/>
          <w:b w:val="0"/>
          <w:color w:val="000000"/>
          <w:sz w:val="32"/>
        </w:rPr>
        <w:t>公司法定代表人为贺同庆。董事会秘书为曹长求，证券事务代表为田建华，办公地址均为山东省淄博市高新区鲁泰大道1号。公司高级管理层普遍具有长期医药行业从业经历，管理团队稳定性较高，对解热镇痛原料药与普药制剂的行业周期具有丰富的应对经验。</w:t>
      </w:r>
    </w:p>
    <w:p>
      <w:pPr>
        <w:spacing w:lineRule="exact" w:line="600" w:before="0" w:after="0"/>
        <w:ind w:firstLine="420"/>
        <w:jc w:val="both"/>
      </w:pPr>
      <w:r>
        <w:rPr>
          <w:rFonts w:ascii="仿宋_GB2312" w:hAnsi="仿宋_GB2312" w:eastAsia="仿宋_GB2312"/>
          <w:b w:val="0"/>
          <w:color w:val="000000"/>
          <w:sz w:val="32"/>
        </w:rPr>
        <w:t>激励机制方面，公司自2021年12月31日起实施股票期权激励计划，覆盖核心管理与技术骨干，至2025年三个行权期已全部完成行权，累计新增A股股份约2,200万股。股权激励在国有控股上市公司中具有较强的市场化导向意义，有助于将管理层利益与公司长期市值表现绑定。</w:t>
      </w:r>
    </w:p>
    <w:p>
      <w:pPr>
        <w:spacing w:lineRule="exact" w:line="600" w:before="120" w:after="120"/>
        <w:ind w:firstLine="420"/>
        <w:jc w:val="left"/>
      </w:pPr>
      <w:r>
        <w:rPr>
          <w:rFonts w:ascii="楷体_GB2312" w:hAnsi="楷体_GB2312" w:eastAsia="楷体_GB2312"/>
          <w:b w:val="0"/>
          <w:color w:val="000000"/>
          <w:sz w:val="32"/>
        </w:rPr>
        <w:t>（三）组织与内部控制</w:t>
      </w:r>
    </w:p>
    <w:p>
      <w:pPr>
        <w:spacing w:lineRule="exact" w:line="600" w:before="0" w:after="0"/>
        <w:ind w:firstLine="420"/>
        <w:jc w:val="both"/>
      </w:pPr>
      <w:r>
        <w:rPr>
          <w:rFonts w:ascii="仿宋_GB2312" w:hAnsi="仿宋_GB2312" w:eastAsia="仿宋_GB2312"/>
          <w:b w:val="0"/>
          <w:color w:val="000000"/>
          <w:sz w:val="32"/>
        </w:rPr>
        <w:t>公司实行母子公司管控体系，母公司负责战略规划、研发平台、资金集中管理与合规风控，子公司负责具体生产经营。在药品生产企业的特殊监管要求下，公司须建立覆盖研发、采购、生产、质量、仓储、销售、不良反应监测全过程的质量管理体系，质量管理是内控体系的核心环节。</w:t>
      </w:r>
    </w:p>
    <w:p>
      <w:pPr>
        <w:spacing w:lineRule="exact" w:line="600" w:before="0" w:after="0"/>
        <w:ind w:firstLine="420"/>
        <w:jc w:val="both"/>
      </w:pPr>
      <w:r>
        <w:rPr>
          <w:rFonts w:ascii="仿宋_GB2312" w:hAnsi="仿宋_GB2312" w:eastAsia="仿宋_GB2312"/>
          <w:b w:val="0"/>
          <w:color w:val="000000"/>
          <w:sz w:val="32"/>
        </w:rPr>
        <w:t>公司2025年年度报告显示，报告期内不存在违反规定决策程序对外提供担保的情况，不存在半数以上董事无法保证年报真实性的情形，内控运行总体规范。作为化学制药与精细化工交叉领域企业，公司在安全生产与环境保护方面亦须执行更为严格的内部控制标准，环保投入与安全管理构成其固定成本的重要组成部分。</w:t>
      </w:r>
    </w:p>
    <w:p>
      <w:pPr>
        <w:spacing w:lineRule="exact" w:line="600" w:before="120" w:after="120"/>
        <w:ind w:firstLine="420"/>
        <w:jc w:val="left"/>
      </w:pPr>
      <w:r>
        <w:rPr>
          <w:rFonts w:ascii="楷体_GB2312" w:hAnsi="楷体_GB2312" w:eastAsia="楷体_GB2312"/>
          <w:b w:val="0"/>
          <w:color w:val="000000"/>
          <w:sz w:val="32"/>
        </w:rPr>
        <w:t>（四）人力资源</w:t>
      </w:r>
    </w:p>
    <w:p>
      <w:pPr>
        <w:spacing w:lineRule="exact" w:line="600" w:before="0" w:after="0"/>
        <w:ind w:firstLine="420"/>
        <w:jc w:val="both"/>
      </w:pPr>
      <w:r>
        <w:rPr>
          <w:rFonts w:ascii="仿宋_GB2312" w:hAnsi="仿宋_GB2312" w:eastAsia="仿宋_GB2312"/>
          <w:b w:val="0"/>
          <w:color w:val="000000"/>
          <w:sz w:val="32"/>
        </w:rPr>
        <w:t>截至2025年末，公司员工总数7,240人，较2024年末的7,296人减少0.77%；2024年末较2023年末增加2.7%。员工规模总体稳定并略有精简，与公司提质增效的经营导向一致。</w:t>
      </w:r>
    </w:p>
    <w:p>
      <w:pPr>
        <w:spacing w:lineRule="exact" w:line="600" w:before="0" w:after="0"/>
        <w:ind w:firstLine="420"/>
        <w:jc w:val="both"/>
      </w:pPr>
      <w:r>
        <w:rPr>
          <w:rFonts w:ascii="仿宋_GB2312" w:hAnsi="仿宋_GB2312" w:eastAsia="仿宋_GB2312"/>
          <w:b w:val="0"/>
          <w:color w:val="000000"/>
          <w:sz w:val="32"/>
        </w:rPr>
        <w:t>人均效率指标显示，2025年人均创收120.92万元，较2024年的116.04万元提升4.21%；人均创利4.00万元，较2024年的6.44万元下降37.9%。人均创收与人均创利的背离，本质上是毛利率下滑在人效指标上的映射。公司研发与技术人员队伍是新产品持续投放的基础，2025年28个制剂新产品上市、27个新产品在研推进，反映研发组织效率较高。</w:t>
      </w:r>
    </w:p>
    <w:p>
      <w:pPr>
        <w:spacing w:lineRule="exact" w:line="600" w:before="120" w:after="120"/>
        <w:ind w:firstLine="420"/>
        <w:jc w:val="left"/>
      </w:pPr>
      <w:r>
        <w:rPr>
          <w:rFonts w:ascii="黑体" w:hAnsi="黑体" w:eastAsia="黑体"/>
          <w:b w:val="0"/>
          <w:color w:val="000000"/>
          <w:sz w:val="32"/>
        </w:rPr>
        <w:t>五、核心竞争力（护城河）</w:t>
      </w:r>
    </w:p>
    <w:p>
      <w:pPr>
        <w:spacing w:lineRule="exact" w:line="600" w:before="0" w:after="0"/>
        <w:ind w:firstLine="420"/>
        <w:jc w:val="both"/>
      </w:pPr>
      <w:r>
        <w:rPr>
          <w:rFonts w:ascii="仿宋_GB2312" w:hAnsi="仿宋_GB2312" w:eastAsia="仿宋_GB2312"/>
          <w:b w:val="0"/>
          <w:color w:val="000000"/>
          <w:sz w:val="32"/>
        </w:rPr>
        <w:t>第一，规模与成本壁垒。公司在解热镇痛类原料药领域具有全球领先的产能规模，长期积累形成的工艺优化能力、副产物综合利用能力与"中间体—原料药"纵向一体化配套，使其在成本曲线上处于有利位置。地处淄博这一国家级石化与精细化工基地，原料就近供应与公用工程配套进一步强化了成本优势。</w:t>
      </w:r>
    </w:p>
    <w:p>
      <w:pPr>
        <w:spacing w:lineRule="exact" w:line="600" w:before="0" w:after="0"/>
        <w:ind w:firstLine="420"/>
        <w:jc w:val="both"/>
      </w:pPr>
      <w:r>
        <w:rPr>
          <w:rFonts w:ascii="仿宋_GB2312" w:hAnsi="仿宋_GB2312" w:eastAsia="仿宋_GB2312"/>
          <w:b w:val="0"/>
          <w:color w:val="000000"/>
          <w:sz w:val="32"/>
        </w:rPr>
        <w:t>第二，双资本平台与国有信用壁垒。"A＋H"两地上市赋予公司境内外双重融资通道与更高的治理透明度；省属国资控股背景为公司提供了稳定的股权结构、较低的融资成本与较强的政银企协同能力，在行业下行期具有显著的抗风险价值。</w:t>
      </w:r>
    </w:p>
    <w:p>
      <w:pPr>
        <w:spacing w:lineRule="exact" w:line="600" w:before="0" w:after="0"/>
        <w:ind w:firstLine="420"/>
        <w:jc w:val="both"/>
      </w:pPr>
      <w:r>
        <w:rPr>
          <w:rFonts w:ascii="仿宋_GB2312" w:hAnsi="仿宋_GB2312" w:eastAsia="仿宋_GB2312"/>
          <w:b w:val="0"/>
          <w:color w:val="000000"/>
          <w:sz w:val="32"/>
        </w:rPr>
        <w:t>第三，国际化与合规壁垒。医药出口的核心门槛在于目的国注册批文与生产现场的国际合规认证。公司长期深耕国际市场，2025年国际制剂销售收入同比增长19.86%、自营制剂出口收入同比增长176.13%，验证了其国际注册与合规体系的有效性，这一能力难以被新进入者短期复制。</w:t>
      </w:r>
    </w:p>
    <w:p>
      <w:pPr>
        <w:spacing w:lineRule="exact" w:line="600" w:before="0" w:after="0"/>
        <w:ind w:firstLine="420"/>
        <w:jc w:val="both"/>
      </w:pPr>
      <w:r>
        <w:rPr>
          <w:rFonts w:ascii="仿宋_GB2312" w:hAnsi="仿宋_GB2312" w:eastAsia="仿宋_GB2312"/>
          <w:b w:val="0"/>
          <w:color w:val="000000"/>
          <w:sz w:val="32"/>
        </w:rPr>
        <w:t>第四，品种齐全的产品线与渠道壁垒。公司普药品种数量众多、覆盖治疗领域广泛，在基层医疗与零售终端形成了较强的品牌认知；配合自有商业公司、进出口公司、电商团队与动保渠道，构成多元销售网络。品种齐全意味着公司在集采中具备"以量补价"的组合能力，单一品种失标的冲击可被分散。</w:t>
      </w:r>
    </w:p>
    <w:p>
      <w:pPr>
        <w:spacing w:lineRule="exact" w:line="600" w:before="0" w:after="0"/>
        <w:ind w:firstLine="420"/>
        <w:jc w:val="both"/>
      </w:pPr>
      <w:r>
        <w:rPr>
          <w:rFonts w:ascii="仿宋_GB2312" w:hAnsi="仿宋_GB2312" w:eastAsia="仿宋_GB2312"/>
          <w:b w:val="0"/>
          <w:color w:val="000000"/>
          <w:sz w:val="32"/>
        </w:rPr>
        <w:t>第五，研发与新产品迭代能力。2025年全年28个制剂新产品投放市场、27个新产品加快上市，持续的产品迭代为收入结构优化提供支撑。同时，公司通过参股北方健康医疗大数据、山东产发数字健康等平台，在数字健康与医药大数据方向布局前瞻性能力。</w:t>
      </w:r>
    </w:p>
    <w:p>
      <w:pPr>
        <w:spacing w:lineRule="exact" w:line="600" w:before="0" w:after="0"/>
        <w:ind w:firstLine="420"/>
        <w:jc w:val="both"/>
      </w:pPr>
      <w:r>
        <w:rPr>
          <w:rFonts w:ascii="仿宋_GB2312" w:hAnsi="仿宋_GB2312" w:eastAsia="仿宋_GB2312"/>
          <w:b w:val="0"/>
          <w:color w:val="000000"/>
          <w:sz w:val="32"/>
        </w:rPr>
        <w:t>需客观指出，公司护城河的薄弱环节在于产品结构中高附加值创新药占比低、低毛利中间体业务占比偏高，导致其护城河更多体现为"成本＋规模＋渠道"型，而非"技术＋专利"型，抵御价格战的能力有限。</w:t>
      </w:r>
    </w:p>
    <w:p>
      <w:pPr>
        <w:spacing w:lineRule="exact" w:line="600" w:before="120" w:after="120"/>
        <w:ind w:firstLine="420"/>
        <w:jc w:val="left"/>
      </w:pPr>
      <w:r>
        <w:rPr>
          <w:rFonts w:ascii="黑体" w:hAnsi="黑体" w:eastAsia="黑体"/>
          <w:b w:val="0"/>
          <w:color w:val="000000"/>
          <w:sz w:val="32"/>
        </w:rPr>
        <w:t>六、风险分析</w:t>
      </w:r>
    </w:p>
    <w:p>
      <w:pPr>
        <w:spacing w:lineRule="exact" w:line="600" w:before="120" w:after="120"/>
        <w:ind w:firstLine="420"/>
        <w:jc w:val="left"/>
      </w:pPr>
      <w:r>
        <w:rPr>
          <w:rFonts w:ascii="楷体_GB2312" w:hAnsi="楷体_GB2312" w:eastAsia="楷体_GB2312"/>
          <w:b w:val="0"/>
          <w:color w:val="000000"/>
          <w:sz w:val="32"/>
        </w:rPr>
        <w:t>（一）行业与政策风险</w:t>
      </w:r>
    </w:p>
    <w:p>
      <w:pPr>
        <w:spacing w:lineRule="exact" w:line="600" w:before="0" w:after="0"/>
        <w:ind w:firstLine="420"/>
        <w:jc w:val="both"/>
      </w:pPr>
      <w:r>
        <w:rPr>
          <w:rFonts w:ascii="仿宋_GB2312" w:hAnsi="仿宋_GB2312" w:eastAsia="仿宋_GB2312"/>
          <w:b w:val="0"/>
          <w:color w:val="000000"/>
          <w:sz w:val="32"/>
        </w:rPr>
        <w:t>一是药品集中带量采购常态化风险。公司制剂业务以普药为主，是集采覆盖的主要品类。中选价格下行将直接压缩制剂毛利率，失标则可能导致相应品种收入大幅萎缩。2024—2025年公司毛利率连续两年分别下降5.41和5.33个百分点，很大程度上即为集采与市场竞争共同作用的结果。</w:t>
      </w:r>
    </w:p>
    <w:p>
      <w:pPr>
        <w:spacing w:lineRule="exact" w:line="600" w:before="0" w:after="0"/>
        <w:ind w:firstLine="420"/>
        <w:jc w:val="both"/>
      </w:pPr>
      <w:r>
        <w:rPr>
          <w:rFonts w:ascii="仿宋_GB2312" w:hAnsi="仿宋_GB2312" w:eastAsia="仿宋_GB2312"/>
          <w:b w:val="0"/>
          <w:color w:val="000000"/>
          <w:sz w:val="32"/>
        </w:rPr>
        <w:t>二是环保与安全生产监管趋严风险。公司属于化学合成制药企业，"三废"排放与危险化学品使用受严格监管，环保标准提升将带来持续的技改与运行成本增加，突发环保或安全事故还可能导致停产整顿。</w:t>
      </w:r>
    </w:p>
    <w:p>
      <w:pPr>
        <w:spacing w:lineRule="exact" w:line="600" w:before="0" w:after="0"/>
        <w:ind w:firstLine="420"/>
        <w:jc w:val="both"/>
      </w:pPr>
      <w:r>
        <w:rPr>
          <w:rFonts w:ascii="仿宋_GB2312" w:hAnsi="仿宋_GB2312" w:eastAsia="仿宋_GB2312"/>
          <w:b w:val="0"/>
          <w:color w:val="000000"/>
          <w:sz w:val="32"/>
        </w:rPr>
        <w:t>三是国际贸易与地缘政治风险。公司国际业务占比较高，面临汇率波动、贸易摩擦、目的国注册政策变化、海运物流成本波动等外部不确定性。</w:t>
      </w:r>
    </w:p>
    <w:p>
      <w:pPr>
        <w:spacing w:lineRule="exact" w:line="600" w:before="120" w:after="120"/>
        <w:ind w:firstLine="420"/>
        <w:jc w:val="left"/>
      </w:pPr>
      <w:r>
        <w:rPr>
          <w:rFonts w:ascii="楷体_GB2312" w:hAnsi="楷体_GB2312" w:eastAsia="楷体_GB2312"/>
          <w:b w:val="0"/>
          <w:color w:val="000000"/>
          <w:sz w:val="32"/>
        </w:rPr>
        <w:t>（二）经营风险</w:t>
      </w:r>
    </w:p>
    <w:p>
      <w:pPr>
        <w:spacing w:lineRule="exact" w:line="600" w:before="0" w:after="0"/>
        <w:ind w:firstLine="420"/>
        <w:jc w:val="both"/>
      </w:pPr>
      <w:r>
        <w:rPr>
          <w:rFonts w:ascii="仿宋_GB2312" w:hAnsi="仿宋_GB2312" w:eastAsia="仿宋_GB2312"/>
          <w:b w:val="0"/>
          <w:color w:val="000000"/>
          <w:sz w:val="32"/>
        </w:rPr>
        <w:t>一是原料药价格周期风险。解热镇痛类原料药市场化定价，受全球产能投放与需求波动影响明显。2024年公司解热镇痛类等原料药收入同比下降12.31%，即为价格与需求周期波动的直接体现。</w:t>
      </w:r>
    </w:p>
    <w:p>
      <w:pPr>
        <w:spacing w:lineRule="exact" w:line="600" w:before="0" w:after="0"/>
        <w:ind w:firstLine="420"/>
        <w:jc w:val="both"/>
      </w:pPr>
      <w:r>
        <w:rPr>
          <w:rFonts w:ascii="仿宋_GB2312" w:hAnsi="仿宋_GB2312" w:eastAsia="仿宋_GB2312"/>
          <w:b w:val="0"/>
          <w:color w:val="000000"/>
          <w:sz w:val="32"/>
        </w:rPr>
        <w:t>二是原材料与能源成本波动风险。基础化工原料与能源价格上行会直接侵蚀毛利，而在集采与国际竞争环境下，成本向下游传导的能力受限，形成"成本刚性、售价柔性"的不利格局。</w:t>
      </w:r>
    </w:p>
    <w:p>
      <w:pPr>
        <w:spacing w:lineRule="exact" w:line="600" w:before="0" w:after="0"/>
        <w:ind w:firstLine="420"/>
        <w:jc w:val="both"/>
      </w:pPr>
      <w:r>
        <w:rPr>
          <w:rFonts w:ascii="仿宋_GB2312" w:hAnsi="仿宋_GB2312" w:eastAsia="仿宋_GB2312"/>
          <w:b w:val="0"/>
          <w:color w:val="000000"/>
          <w:sz w:val="32"/>
        </w:rPr>
        <w:t>三是新产品放量不及预期风险。公司每年投放大量制剂新产品，但新产品能否形成规模收入取决于市场准入、招标进院与渠道推广效果，存在不确定性。</w:t>
      </w:r>
    </w:p>
    <w:p>
      <w:pPr>
        <w:spacing w:lineRule="exact" w:line="600" w:before="120" w:after="120"/>
        <w:ind w:firstLine="420"/>
        <w:jc w:val="left"/>
      </w:pPr>
      <w:r>
        <w:rPr>
          <w:rFonts w:ascii="楷体_GB2312" w:hAnsi="楷体_GB2312" w:eastAsia="楷体_GB2312"/>
          <w:b w:val="0"/>
          <w:color w:val="000000"/>
          <w:sz w:val="32"/>
        </w:rPr>
        <w:t>（三）财务风险</w:t>
      </w:r>
    </w:p>
    <w:p>
      <w:pPr>
        <w:spacing w:lineRule="exact" w:line="600" w:before="0" w:after="0"/>
        <w:ind w:firstLine="420"/>
        <w:jc w:val="both"/>
      </w:pPr>
      <w:r>
        <w:rPr>
          <w:rFonts w:ascii="仿宋_GB2312" w:hAnsi="仿宋_GB2312" w:eastAsia="仿宋_GB2312"/>
          <w:b w:val="0"/>
          <w:color w:val="000000"/>
          <w:sz w:val="32"/>
        </w:rPr>
        <w:t>一是盈利持续下滑风险。2025年归母净利润同比下降38.32%，扣非净利润下降40.10%，第四季度净利率降至1.98%，若毛利率无法企稳，2026年盈利仍将承压。2026年一季度经营态势尚需持续跟踪。</w:t>
      </w:r>
    </w:p>
    <w:p>
      <w:pPr>
        <w:spacing w:lineRule="exact" w:line="600" w:before="0" w:after="0"/>
        <w:ind w:firstLine="420"/>
        <w:jc w:val="both"/>
      </w:pPr>
      <w:r>
        <w:rPr>
          <w:rFonts w:ascii="仿宋_GB2312" w:hAnsi="仿宋_GB2312" w:eastAsia="仿宋_GB2312"/>
          <w:b w:val="0"/>
          <w:color w:val="000000"/>
          <w:sz w:val="32"/>
        </w:rPr>
        <w:t>二是应收账款与存货风险。公司应收账款周转率10.12次、存货周转率5.49次，指标本身健康，但在下游医药商业公司回款周期普遍拉长的行业背景下，需警惕账龄结构劣化与存货跌价的可能。</w:t>
      </w:r>
    </w:p>
    <w:p>
      <w:pPr>
        <w:spacing w:lineRule="exact" w:line="600" w:before="0" w:after="0"/>
        <w:ind w:firstLine="420"/>
        <w:jc w:val="both"/>
      </w:pPr>
      <w:r>
        <w:rPr>
          <w:rFonts w:ascii="仿宋_GB2312" w:hAnsi="仿宋_GB2312" w:eastAsia="仿宋_GB2312"/>
          <w:b w:val="0"/>
          <w:color w:val="000000"/>
          <w:sz w:val="32"/>
        </w:rPr>
        <w:t>三是有息负债的利息保障风险。2025年末有息负债14.82亿元，在净利润下滑背景下，利息保障倍数边际下降，需关注融资成本变化。</w:t>
      </w:r>
    </w:p>
    <w:p>
      <w:pPr>
        <w:spacing w:lineRule="exact" w:line="600" w:before="0" w:after="0"/>
        <w:ind w:firstLine="420"/>
        <w:jc w:val="both"/>
      </w:pPr>
      <w:r>
        <w:rPr>
          <w:rFonts w:ascii="仿宋_GB2312" w:hAnsi="仿宋_GB2312" w:eastAsia="仿宋_GB2312"/>
          <w:b w:val="0"/>
          <w:color w:val="000000"/>
          <w:sz w:val="32"/>
        </w:rPr>
        <w:t>应对措施方面，公司已采取的对冲手段包括：强化期间费用管控（2025年期间费用率同比下降3.21个百分点）、优化营运资金（经营现金流同比增长45.19%）、压缩资本开支（投资活动现金流净流出由2.12亿元降至1.04亿元）、加快高毛利国际制剂业务与动保、电商等新渠道放量。</w:t>
      </w:r>
    </w:p>
    <w:p>
      <w:pPr>
        <w:spacing w:lineRule="exact" w:line="600" w:before="120" w:after="120"/>
        <w:ind w:firstLine="420"/>
        <w:jc w:val="left"/>
      </w:pPr>
      <w:r>
        <w:rPr>
          <w:rFonts w:ascii="楷体_GB2312" w:hAnsi="楷体_GB2312" w:eastAsia="楷体_GB2312"/>
          <w:b w:val="0"/>
          <w:color w:val="000000"/>
          <w:sz w:val="32"/>
        </w:rPr>
        <w:t>（四）合规与管理风险</w:t>
      </w:r>
    </w:p>
    <w:p>
      <w:pPr>
        <w:spacing w:lineRule="exact" w:line="600" w:before="0" w:after="0"/>
        <w:ind w:firstLine="420"/>
        <w:jc w:val="both"/>
      </w:pPr>
      <w:r>
        <w:rPr>
          <w:rFonts w:ascii="仿宋_GB2312" w:hAnsi="仿宋_GB2312" w:eastAsia="仿宋_GB2312"/>
          <w:b w:val="0"/>
          <w:color w:val="000000"/>
          <w:sz w:val="32"/>
        </w:rPr>
        <w:t>公司作为两地上市国有控股企业，须同时满足境内外监管要求，信息披露、关联交易、内幕信息管理的合规成本较高。药品质量安全是最刚性的合规底线，一旦发生质量事件将对品牌与经营造成重大冲击。公司2025年年度报告披露，报告期内不存在控股股东非经营性资金占用与违规担保情形，合规运行状况总体良好。</w:t>
      </w:r>
    </w:p>
    <w:p>
      <w:pPr>
        <w:spacing w:lineRule="exact" w:line="600" w:before="120" w:after="120"/>
        <w:ind w:firstLine="420"/>
        <w:jc w:val="left"/>
      </w:pPr>
      <w:r>
        <w:rPr>
          <w:rFonts w:ascii="黑体" w:hAnsi="黑体" w:eastAsia="黑体"/>
          <w:b w:val="0"/>
          <w:color w:val="000000"/>
          <w:sz w:val="32"/>
        </w:rPr>
        <w:t>七、融资需求分析（与山东投资协同）</w:t>
      </w:r>
    </w:p>
    <w:p>
      <w:pPr>
        <w:spacing w:lineRule="exact" w:line="600" w:before="120" w:after="120"/>
        <w:ind w:firstLine="420"/>
        <w:jc w:val="left"/>
      </w:pPr>
      <w:r>
        <w:rPr>
          <w:rFonts w:ascii="楷体_GB2312" w:hAnsi="楷体_GB2312" w:eastAsia="楷体_GB2312"/>
          <w:b w:val="0"/>
          <w:color w:val="000000"/>
          <w:sz w:val="32"/>
        </w:rPr>
        <w:t>（一）总体判断</w:t>
      </w:r>
    </w:p>
    <w:p>
      <w:pPr>
        <w:spacing w:lineRule="exact" w:line="600" w:before="0" w:after="0"/>
        <w:ind w:firstLine="420"/>
        <w:jc w:val="both"/>
      </w:pPr>
      <w:r>
        <w:rPr>
          <w:rFonts w:ascii="仿宋_GB2312" w:hAnsi="仿宋_GB2312" w:eastAsia="仿宋_GB2312"/>
          <w:b w:val="0"/>
          <w:color w:val="000000"/>
          <w:sz w:val="32"/>
        </w:rPr>
        <w:t>公司资产负债率40.61%、经营现金流净额5.34亿元、有息负债14.82亿元，整体属于"低杠杆、强现金流、国资背景"的优质客户类型。其融资需求特征为：总量需求不迫切，但结构性需求明确——即在盈利承压期通过供应链金融工具降低财务成本、盘活上下游占款、支持国际业务扩张与产能技改。作为省属国资控股上市公司，与山东省属投资平台开展业务在客户准入、风险偏好上高度契合。</w:t>
      </w:r>
    </w:p>
    <w:p>
      <w:pPr>
        <w:spacing w:lineRule="exact" w:line="600" w:before="120" w:after="120"/>
        <w:ind w:firstLine="420"/>
        <w:jc w:val="left"/>
      </w:pPr>
      <w:r>
        <w:rPr>
          <w:rFonts w:ascii="楷体_GB2312" w:hAnsi="楷体_GB2312" w:eastAsia="楷体_GB2312"/>
          <w:b w:val="0"/>
          <w:color w:val="000000"/>
          <w:sz w:val="32"/>
        </w:rPr>
        <w:t>（二）保理业务切入建议</w:t>
      </w:r>
    </w:p>
    <w:p>
      <w:pPr>
        <w:spacing w:lineRule="exact" w:line="600" w:before="0" w:after="0"/>
        <w:ind w:firstLine="420"/>
        <w:jc w:val="both"/>
      </w:pPr>
      <w:r>
        <w:rPr>
          <w:rFonts w:ascii="仿宋_GB2312" w:hAnsi="仿宋_GB2312" w:eastAsia="仿宋_GB2312"/>
          <w:b w:val="0"/>
          <w:color w:val="000000"/>
          <w:sz w:val="32"/>
        </w:rPr>
        <w:t>公司应收账款周转率10.12次，客户以大型医药商业公司、连锁药店及境外采购方为主，基础资产质量优良、确权难度低。建议以"有追索权国内保理"为主要产品形态，围绕其对国内医药商业公司的应收账款开展池保理，额度可按其应收账款余额的适度比例核定；同时探索出口保理（结合信用保险）服务其国际制剂业务，在加速回款的同时对冲境外买方信用风险与汇率风险。</w:t>
      </w:r>
    </w:p>
    <w:p>
      <w:pPr>
        <w:spacing w:lineRule="exact" w:line="600" w:before="120" w:after="120"/>
        <w:ind w:firstLine="420"/>
        <w:jc w:val="left"/>
      </w:pPr>
      <w:r>
        <w:rPr>
          <w:rFonts w:ascii="楷体_GB2312" w:hAnsi="楷体_GB2312" w:eastAsia="楷体_GB2312"/>
          <w:b w:val="0"/>
          <w:color w:val="000000"/>
          <w:sz w:val="32"/>
        </w:rPr>
        <w:t>（三）供应链金融切入建议</w:t>
      </w:r>
    </w:p>
    <w:p>
      <w:pPr>
        <w:spacing w:lineRule="exact" w:line="600" w:before="0" w:after="0"/>
        <w:ind w:firstLine="420"/>
        <w:jc w:val="both"/>
      </w:pPr>
      <w:r>
        <w:rPr>
          <w:rFonts w:ascii="仿宋_GB2312" w:hAnsi="仿宋_GB2312" w:eastAsia="仿宋_GB2312"/>
          <w:b w:val="0"/>
          <w:color w:val="000000"/>
          <w:sz w:val="32"/>
        </w:rPr>
        <w:t>公司作为集群链主，上游连接大量精细化工原料与包材中小供应商，2024年前五名供应商采购集中度仅19.10%，意味着长尾供应商数量众多且普遍存在融资难题。建议以新华制药为核心企业搭建反向保理（应付账款融资）平台，由山东投资对上游供应商提供基于核心企业信用的确权融资，既服务集群中小企业，又可通过核心企业信用穿透实现低风险资产投放。在淄博高新区药械集群内，该模式还可复制至同一集群的包装、器械配套企业。</w:t>
      </w:r>
    </w:p>
    <w:p>
      <w:pPr>
        <w:spacing w:lineRule="exact" w:line="600" w:before="120" w:after="120"/>
        <w:ind w:firstLine="420"/>
        <w:jc w:val="left"/>
      </w:pPr>
      <w:r>
        <w:rPr>
          <w:rFonts w:ascii="楷体_GB2312" w:hAnsi="楷体_GB2312" w:eastAsia="楷体_GB2312"/>
          <w:b w:val="0"/>
          <w:color w:val="000000"/>
          <w:sz w:val="32"/>
        </w:rPr>
        <w:t>（四）融资租赁切入建议</w:t>
      </w:r>
    </w:p>
    <w:p>
      <w:pPr>
        <w:spacing w:lineRule="exact" w:line="600" w:before="0" w:after="0"/>
        <w:ind w:firstLine="420"/>
        <w:jc w:val="both"/>
      </w:pPr>
      <w:r>
        <w:rPr>
          <w:rFonts w:ascii="仿宋_GB2312" w:hAnsi="仿宋_GB2312" w:eastAsia="仿宋_GB2312"/>
          <w:b w:val="0"/>
          <w:color w:val="000000"/>
          <w:sz w:val="32"/>
        </w:rPr>
        <w:t>公司在原料药生产线技改、制剂车间国际标准升级、环保设施提标改造等方面存在持续的设备投资需求，2025年投资活动现金流净流出1.04亿元虽有收缩，但技改是其毛利率修复的必要路径。建议采用"售后回租＋直租"组合：对现有制剂与原料药生产线开展售后回租，释放存量设备沉淀资金以补充流动性；对新增环保装置、智能化产线采用直租模式，匹配设备经济寿命设计3—5年租期，缓解一次性资本开支压力。</w:t>
      </w:r>
    </w:p>
    <w:p>
      <w:pPr>
        <w:spacing w:lineRule="exact" w:line="600" w:before="120" w:after="120"/>
        <w:ind w:firstLine="420"/>
        <w:jc w:val="left"/>
      </w:pPr>
      <w:r>
        <w:rPr>
          <w:rFonts w:ascii="楷体_GB2312" w:hAnsi="楷体_GB2312" w:eastAsia="楷体_GB2312"/>
          <w:b w:val="0"/>
          <w:color w:val="000000"/>
          <w:sz w:val="32"/>
        </w:rPr>
        <w:t>（五）小额贷款业务切入建议</w:t>
      </w:r>
    </w:p>
    <w:p>
      <w:pPr>
        <w:spacing w:lineRule="exact" w:line="600" w:before="0" w:after="0"/>
        <w:ind w:firstLine="420"/>
        <w:jc w:val="both"/>
      </w:pPr>
      <w:r>
        <w:rPr>
          <w:rFonts w:ascii="仿宋_GB2312" w:hAnsi="仿宋_GB2312" w:eastAsia="仿宋_GB2312"/>
          <w:b w:val="0"/>
          <w:color w:val="000000"/>
          <w:sz w:val="32"/>
        </w:rPr>
        <w:t>直接对上市公司主体开展小贷业务的适配性有限。建议将小贷产品定位于其生态圈：一是为其下游区域经销商、连锁药店与电商渠道商提供订货融资；二是为上游长尾原料与包材供应商提供短期周转贷款；三是围绕淄博新华大药店连锁体系的加盟终端提供小额信用贷款。以核心企业交易数据为风控基础，实现"小额、分散、可控"的资产布局。</w:t>
      </w:r>
    </w:p>
    <w:p>
      <w:pPr>
        <w:spacing w:lineRule="exact" w:line="600" w:before="120" w:after="120"/>
        <w:ind w:firstLine="420"/>
        <w:jc w:val="left"/>
      </w:pPr>
      <w:r>
        <w:rPr>
          <w:rFonts w:ascii="楷体_GB2312" w:hAnsi="楷体_GB2312" w:eastAsia="楷体_GB2312"/>
          <w:b w:val="0"/>
          <w:color w:val="000000"/>
          <w:sz w:val="32"/>
        </w:rPr>
        <w:t>（六）综合协同建议</w:t>
      </w:r>
    </w:p>
    <w:p>
      <w:pPr>
        <w:spacing w:lineRule="exact" w:line="600" w:before="0" w:after="0"/>
        <w:ind w:firstLine="420"/>
        <w:jc w:val="both"/>
      </w:pPr>
      <w:r>
        <w:rPr>
          <w:rFonts w:ascii="仿宋_GB2312" w:hAnsi="仿宋_GB2312" w:eastAsia="仿宋_GB2312"/>
          <w:b w:val="0"/>
          <w:color w:val="000000"/>
          <w:sz w:val="32"/>
        </w:rPr>
        <w:t>建议山东投资以"集群整体授信＋核心企业增信"的方式介入淄博高新区药械集群：以新华制药、新华医疗等链主企业为信用锚点，构建覆盖原料药、制剂、包装、器械、流通全链条的综合金融服务方案。同时，鉴于公司与山东省国资体系同源，可探索在产业基金、并购融资、跨境资金结算等更高层次开展战略合作。</w:t>
      </w:r>
    </w:p>
    <w:p>
      <w:pPr>
        <w:spacing w:lineRule="exact" w:line="600" w:before="120" w:after="120"/>
        <w:ind w:firstLine="420"/>
        <w:jc w:val="left"/>
      </w:pPr>
      <w:r>
        <w:rPr>
          <w:rFonts w:ascii="黑体" w:hAnsi="黑体" w:eastAsia="黑体"/>
          <w:b w:val="0"/>
          <w:color w:val="000000"/>
          <w:sz w:val="32"/>
        </w:rPr>
        <w:t>八、综合评价、发展展望与建议</w:t>
      </w:r>
    </w:p>
    <w:p>
      <w:pPr>
        <w:spacing w:lineRule="exact" w:line="600" w:before="120" w:after="120"/>
        <w:ind w:firstLine="420"/>
        <w:jc w:val="left"/>
      </w:pPr>
      <w:r>
        <w:rPr>
          <w:rFonts w:ascii="楷体_GB2312" w:hAnsi="楷体_GB2312" w:eastAsia="楷体_GB2312"/>
          <w:b w:val="0"/>
          <w:color w:val="000000"/>
          <w:sz w:val="32"/>
        </w:rPr>
        <w:t>（一）综合评价</w:t>
      </w:r>
    </w:p>
    <w:p>
      <w:pPr>
        <w:spacing w:lineRule="exact" w:line="600" w:before="0" w:after="0"/>
        <w:ind w:firstLine="420"/>
        <w:jc w:val="both"/>
      </w:pPr>
      <w:r>
        <w:rPr>
          <w:rFonts w:ascii="仿宋_GB2312" w:hAnsi="仿宋_GB2312" w:eastAsia="仿宋_GB2312"/>
          <w:b w:val="0"/>
          <w:color w:val="000000"/>
          <w:sz w:val="32"/>
        </w:rPr>
        <w:t>新华制药是山东省属国资控股的"A＋H"两地上市化学制药龙头，在解热镇痛类原料药领域具有全球性地位，在国内普药制剂市场具有品种齐全、供应稳定的比较优势。公司财务结构稳健（资产负债率40.61%）、现金流质量优异（2025年经营现金流5.34亿元，净利润现金含量174.25%）、股东背景强大、治理规范。</w:t>
      </w:r>
    </w:p>
    <w:p>
      <w:pPr>
        <w:spacing w:lineRule="exact" w:line="600" w:before="0" w:after="0"/>
        <w:ind w:firstLine="420"/>
        <w:jc w:val="both"/>
      </w:pPr>
      <w:r>
        <w:rPr>
          <w:rFonts w:ascii="仿宋_GB2312" w:hAnsi="仿宋_GB2312" w:eastAsia="仿宋_GB2312"/>
          <w:b w:val="0"/>
          <w:color w:val="000000"/>
          <w:sz w:val="32"/>
        </w:rPr>
        <w:t>同时必须正视：公司正处于盈利下行通道。2025年归母净利润2.90亿元，较2023年的4.97亿元下降41.7%；毛利率连续两年合计下降10.74个百分点；低毛利医药中间体业务占比近两成拖累整体盈利。收入增长的"含金量"不足，是当前最突出的问题。</w:t>
      </w:r>
    </w:p>
    <w:p>
      <w:pPr>
        <w:spacing w:lineRule="exact" w:line="600" w:before="0" w:after="0"/>
        <w:ind w:firstLine="420"/>
        <w:jc w:val="both"/>
      </w:pPr>
      <w:r>
        <w:rPr>
          <w:rFonts w:ascii="仿宋_GB2312" w:hAnsi="仿宋_GB2312" w:eastAsia="仿宋_GB2312"/>
          <w:b w:val="0"/>
          <w:color w:val="000000"/>
          <w:sz w:val="32"/>
        </w:rPr>
        <w:t>总体评价：公司信用资质良好，属于"周期承压期的稳健型优质国企"，短期盈利波动不改其长期产业地位与偿债能力，是金融机构在医药制造领域适宜配置的核心客户。</w:t>
      </w:r>
    </w:p>
    <w:p>
      <w:pPr>
        <w:spacing w:lineRule="exact" w:line="600" w:before="120" w:after="120"/>
        <w:ind w:firstLine="420"/>
        <w:jc w:val="left"/>
      </w:pPr>
      <w:r>
        <w:rPr>
          <w:rFonts w:ascii="楷体_GB2312" w:hAnsi="楷体_GB2312" w:eastAsia="楷体_GB2312"/>
          <w:b w:val="0"/>
          <w:color w:val="000000"/>
          <w:sz w:val="32"/>
        </w:rPr>
        <w:t>（二）未来发展展望</w:t>
      </w:r>
    </w:p>
    <w:p>
      <w:pPr>
        <w:spacing w:lineRule="exact" w:line="600" w:before="0" w:after="0"/>
        <w:ind w:firstLine="420"/>
        <w:jc w:val="both"/>
      </w:pPr>
      <w:r>
        <w:rPr>
          <w:rFonts w:ascii="仿宋_GB2312" w:hAnsi="仿宋_GB2312" w:eastAsia="仿宋_GB2312"/>
          <w:b w:val="0"/>
          <w:color w:val="000000"/>
          <w:sz w:val="32"/>
        </w:rPr>
        <w:t>据公司2025年年度报告披露的经营导向，公司将继续坚守战略定力，以"新动能加快成长、企业改革持续深入、基础管理不断强化"为主线，夯实技术储备、优化产业布局。可预期的成长动力主要来自三方面：一是国际制剂业务，2025年自营制剂出口收入同比增长176.13%，基数虽小但斜率陡峭；二是动保业务，2025年销售收入同比增长67.12%，是化学合成能力向新赛道的有效延伸；三是新产品梯队，2025年28个新品上市、27个新品在推，为收入结构升级提供储备。</w:t>
      </w:r>
    </w:p>
    <w:p>
      <w:pPr>
        <w:spacing w:lineRule="exact" w:line="600" w:before="0" w:after="0"/>
        <w:ind w:firstLine="420"/>
        <w:jc w:val="both"/>
      </w:pPr>
      <w:r>
        <w:rPr>
          <w:rFonts w:ascii="仿宋_GB2312" w:hAnsi="仿宋_GB2312" w:eastAsia="仿宋_GB2312"/>
          <w:b w:val="0"/>
          <w:color w:val="000000"/>
          <w:sz w:val="32"/>
        </w:rPr>
        <w:t>风险侧的关键变量是原料药价格周期能否见底、集采降价幅度能否收敛，以及低毛利中间体业务的结构性调整能否推进。以上属于行业趋势判断，本报告不作具体数值预测。</w:t>
      </w:r>
    </w:p>
    <w:p>
      <w:pPr>
        <w:spacing w:lineRule="exact" w:line="600" w:before="120" w:after="120"/>
        <w:ind w:firstLine="420"/>
        <w:jc w:val="left"/>
      </w:pPr>
      <w:r>
        <w:rPr>
          <w:rFonts w:ascii="楷体_GB2312" w:hAnsi="楷体_GB2312" w:eastAsia="楷体_GB2312"/>
          <w:b w:val="0"/>
          <w:color w:val="000000"/>
          <w:sz w:val="32"/>
        </w:rPr>
        <w:t>（三）面临的挑战</w:t>
      </w:r>
    </w:p>
    <w:p>
      <w:pPr>
        <w:spacing w:lineRule="exact" w:line="600" w:before="0" w:after="0"/>
        <w:ind w:firstLine="420"/>
        <w:jc w:val="both"/>
      </w:pPr>
      <w:r>
        <w:rPr>
          <w:rFonts w:ascii="仿宋_GB2312" w:hAnsi="仿宋_GB2312" w:eastAsia="仿宋_GB2312"/>
          <w:b w:val="0"/>
          <w:color w:val="000000"/>
          <w:sz w:val="32"/>
        </w:rPr>
        <w:t>一是盈利模式转型的挑战。公司需要在"规模型原料药"与"价值型制剂/国际化"之间完成重心切换，这一过程需要持续的研发投入与注册投入，短期内会进一步挤压利润。二是成本传导能力不足的挑战。在集采与国际竞争双重挤压下，公司缺乏对终端价格的主导权。三是创新能力的挑战。公司产品以仿制药与原料药为主，若不能在高端制剂、特色原料药或CDMO方向形成突破，毛利率中枢将长期承压。</w:t>
      </w:r>
    </w:p>
    <w:p>
      <w:pPr>
        <w:spacing w:lineRule="exact" w:line="600" w:before="120" w:after="120"/>
        <w:ind w:firstLine="420"/>
        <w:jc w:val="left"/>
      </w:pPr>
      <w:r>
        <w:rPr>
          <w:rFonts w:ascii="楷体_GB2312" w:hAnsi="楷体_GB2312" w:eastAsia="楷体_GB2312"/>
          <w:b w:val="0"/>
          <w:color w:val="000000"/>
          <w:sz w:val="32"/>
        </w:rPr>
        <w:t>（四）结论与建议</w:t>
      </w:r>
    </w:p>
    <w:p>
      <w:pPr>
        <w:spacing w:lineRule="exact" w:line="600" w:before="0" w:after="0"/>
        <w:ind w:firstLine="420"/>
        <w:jc w:val="both"/>
      </w:pPr>
      <w:r>
        <w:rPr>
          <w:rFonts w:ascii="仿宋_GB2312" w:hAnsi="仿宋_GB2312" w:eastAsia="仿宋_GB2312"/>
          <w:b w:val="0"/>
          <w:color w:val="000000"/>
          <w:sz w:val="32"/>
        </w:rPr>
        <w:t>结论：新华制药具备扎实的产业基础、稳健的资产负债表和优异的现金流表现，虽处于盈利下行周期，但偿债能力与经营韧性未见实质性削弱，信用风险总体可控。</w:t>
      </w:r>
    </w:p>
    <w:p>
      <w:pPr>
        <w:spacing w:lineRule="exact" w:line="600" w:before="0" w:after="0"/>
        <w:ind w:firstLine="420"/>
        <w:jc w:val="both"/>
      </w:pPr>
      <w:r>
        <w:rPr>
          <w:rFonts w:ascii="仿宋_GB2312" w:hAnsi="仿宋_GB2312" w:eastAsia="仿宋_GB2312"/>
          <w:b w:val="0"/>
          <w:color w:val="000000"/>
          <w:sz w:val="32"/>
        </w:rPr>
        <w:t>对企业的建议：一是加快低毛利医药中间体业务的结构优化，通过提升自用比例或向高附加值品种切换改善综合毛利率；二是持续加大制剂国际化与自营出口投入，把握毛利率更高的境外市场；三是深化动保、电商等高增长新渠道建设；四是继续强化营运资金管理，保持经营现金流的领先优势。</w:t>
      </w:r>
    </w:p>
    <w:p>
      <w:pPr>
        <w:spacing w:lineRule="exact" w:line="600" w:before="0" w:after="0"/>
        <w:ind w:firstLine="420"/>
        <w:jc w:val="both"/>
      </w:pPr>
      <w:r>
        <w:rPr>
          <w:rFonts w:ascii="仿宋_GB2312" w:hAnsi="仿宋_GB2312" w:eastAsia="仿宋_GB2312"/>
          <w:b w:val="0"/>
          <w:color w:val="000000"/>
          <w:sz w:val="32"/>
        </w:rPr>
        <w:t>对山东投资的建议：一是将公司列为医药制造板块的核心白名单客户，优先配置保理与供应链金融额度；二是以公司为核心企业撬动淄博高新区药械集群的上游中小企业融资服务，实现"服务一个链主、带动一个集群"；三是密切跟踪其毛利率与经营现金流两项核心指标，在毛利率企稳信号出现前，业务方式以短期、自偿性、有真实贸易背景的产品为主，审慎介入长周期、大额度的信用类融资。</w:t>
      </w:r>
    </w:p>
    <w:p>
      <w:pPr>
        <w:spacing w:lineRule="exact" w:line="600" w:before="120" w:after="120"/>
        <w:ind w:firstLine="420"/>
        <w:jc w:val="left"/>
      </w:pPr>
      <w:r>
        <w:rPr>
          <w:rFonts w:ascii="黑体" w:hAnsi="黑体" w:eastAsia="黑体"/>
          <w:b w:val="0"/>
          <w:color w:val="000000"/>
          <w:sz w:val="32"/>
        </w:rPr>
        <w:t>九、数据来源说明</w:t>
      </w:r>
    </w:p>
    <w:p>
      <w:pPr>
        <w:spacing w:lineRule="exact" w:line="600" w:before="0" w:after="0"/>
        <w:ind w:firstLine="420"/>
        <w:jc w:val="both"/>
      </w:pPr>
      <w:r>
        <w:rPr>
          <w:rFonts w:ascii="仿宋_GB2312" w:hAnsi="仿宋_GB2312" w:eastAsia="仿宋_GB2312"/>
          <w:b w:val="0"/>
          <w:color w:val="000000"/>
          <w:sz w:val="32"/>
        </w:rPr>
        <w:t>1. 山东新华制药股份有限公司《2025年年度业绩公告》（香港联交所披露易，股份代号00719，2026年3月27日）。</w:t>
      </w:r>
    </w:p>
    <w:p>
      <w:pPr>
        <w:spacing w:lineRule="exact" w:line="600" w:before="0" w:after="0"/>
        <w:ind w:firstLine="420"/>
        <w:jc w:val="both"/>
      </w:pPr>
      <w:r>
        <w:rPr>
          <w:rFonts w:ascii="仿宋_GB2312" w:hAnsi="仿宋_GB2312" w:eastAsia="仿宋_GB2312"/>
          <w:b w:val="0"/>
          <w:color w:val="000000"/>
          <w:sz w:val="32"/>
        </w:rPr>
        <w:t>2. 山东新华制药股份有限公司《2025年年度报告摘要》（深圳证券交易所指定披露网站，公告编号2026-11，2026年3月30日）。</w:t>
      </w:r>
    </w:p>
    <w:p>
      <w:pPr>
        <w:spacing w:lineRule="exact" w:line="600" w:before="0" w:after="0"/>
        <w:ind w:firstLine="420"/>
        <w:jc w:val="both"/>
      </w:pPr>
      <w:r>
        <w:rPr>
          <w:rFonts w:ascii="仿宋_GB2312" w:hAnsi="仿宋_GB2312" w:eastAsia="仿宋_GB2312"/>
          <w:b w:val="0"/>
          <w:color w:val="000000"/>
          <w:sz w:val="32"/>
        </w:rPr>
        <w:t>3. 山东新华制药股份有限公司《2024年年度业绩公告》（香港联交所披露易，2025年3月28日）。</w:t>
      </w:r>
    </w:p>
    <w:p>
      <w:pPr>
        <w:spacing w:lineRule="exact" w:line="600" w:before="0" w:after="0"/>
        <w:ind w:firstLine="420"/>
        <w:jc w:val="both"/>
      </w:pPr>
      <w:r>
        <w:rPr>
          <w:rFonts w:ascii="仿宋_GB2312" w:hAnsi="仿宋_GB2312" w:eastAsia="仿宋_GB2312"/>
          <w:b w:val="0"/>
          <w:color w:val="000000"/>
          <w:sz w:val="32"/>
        </w:rPr>
        <w:t>4. 中国证券报·中证智能财讯《新华制药：2025年净利润同比下降38.32% 拟10派1.5元》（2026年3月29日）。</w:t>
      </w:r>
    </w:p>
    <w:p>
      <w:pPr>
        <w:spacing w:lineRule="exact" w:line="600" w:before="0" w:after="0"/>
        <w:ind w:firstLine="420"/>
        <w:jc w:val="both"/>
      </w:pPr>
      <w:r>
        <w:rPr>
          <w:rFonts w:ascii="仿宋_GB2312" w:hAnsi="仿宋_GB2312" w:eastAsia="仿宋_GB2312"/>
          <w:b w:val="0"/>
          <w:color w:val="000000"/>
          <w:sz w:val="32"/>
        </w:rPr>
        <w:t>5. 中证智能财讯《新华制药：2024年净利润同比下降5.33% 拟10派2.5元》（2025年3月31日）。</w:t>
      </w:r>
    </w:p>
    <w:p>
      <w:pPr>
        <w:spacing w:lineRule="exact" w:line="600" w:before="0" w:after="0"/>
        <w:ind w:firstLine="420"/>
        <w:jc w:val="both"/>
      </w:pPr>
      <w:r>
        <w:rPr>
          <w:rFonts w:ascii="仿宋_GB2312" w:hAnsi="仿宋_GB2312" w:eastAsia="仿宋_GB2312"/>
          <w:b w:val="0"/>
          <w:color w:val="000000"/>
          <w:sz w:val="32"/>
        </w:rPr>
        <w:t>6. 腾讯自选股（gu.qq.com）新华制药（000756.SZ）财务主要复合指标数据页，数据来源于公司2025年年报。</w:t>
      </w:r>
    </w:p>
    <w:p>
      <w:pPr>
        <w:spacing w:lineRule="exact" w:line="600" w:before="0" w:after="0"/>
        <w:ind w:firstLine="420"/>
        <w:jc w:val="both"/>
      </w:pPr>
      <w:r>
        <w:rPr>
          <w:rFonts w:ascii="仿宋_GB2312" w:hAnsi="仿宋_GB2312" w:eastAsia="仿宋_GB2312"/>
          <w:b w:val="0"/>
          <w:color w:val="000000"/>
          <w:sz w:val="32"/>
        </w:rPr>
        <w:t>7. 天眼查山东新华制药股份有限公司工商登记与股权穿透信息。</w:t>
      </w:r>
    </w:p>
    <w:p>
      <w:pPr>
        <w:spacing w:lineRule="exact" w:line="600" w:before="0" w:after="0"/>
        <w:jc w:val="left"/>
      </w:pPr>
      <w:r>
        <w:rPr>
          <w:rFonts w:ascii="仿宋_GB2312" w:hAnsi="仿宋_GB2312" w:eastAsia="仿宋_GB2312"/>
          <w:b w:val="0"/>
          <w:color w:val="000000"/>
          <w:sz w:val="28"/>
        </w:rPr>
        <w:t>（说明：本报告所引用财务数据均来自上市公司经审计定期报告或交易所指定披露渠道，未经审计的期间数据已在文中注明；对未公开披露的经营细节，本报告不作数字推测，仅作定性描述。报告结论供内部投融资决策参考，不构成投资建议。）</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