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山东淄博高新区(药品及医疗器械)特色产业集群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山东新华医疗器械股份有限公司企业分析报告</w:t>
      </w:r>
    </w:p>
    <w:p>
      <w:pPr>
        <w:spacing w:lineRule="exact" w:line="600" w:before="0" w:after="0"/>
        <w:jc w:val="left"/>
      </w:pPr>
      <w:r>
        <w:rPr>
          <w:rFonts w:ascii="仿宋_GB2312" w:hAnsi="仿宋_GB2312" w:eastAsia="仿宋_GB2312"/>
          <w:b w:val="0"/>
          <w:color w:val="000000"/>
          <w:sz w:val="28"/>
        </w:rPr>
        <w:t>（本报告数据来源于公司定期报告、上海证券交易所披露文件、巨潮资讯网、公司官方网站、天眼查工商登记信息及中国证券报、齐鲁晚报·海岱财经等权威媒体公开报道，统计时点截至最新披露信息。未公开披露事项已如实标注，不作推测性填充。）</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新华医疗器械股份有限公司（以下简称"新华医疗"或"公司"），是我国医疗器械与制药装备领域的老牌骨干企业，注册地与主要生产经营地位于山东省淄博市，是"山东淄博高新区(药品及医疗器械)特色产业集群"中医疗器械与制药装备环节的核心链主企业。公司A股在上海证券交易所上市，股票简称"新华医疗"，股票代码600587。</w:t>
      </w:r>
    </w:p>
    <w:p>
      <w:pPr>
        <w:spacing w:lineRule="exact" w:line="600" w:before="0" w:after="0"/>
        <w:ind w:firstLine="420"/>
        <w:jc w:val="both"/>
      </w:pPr>
      <w:r>
        <w:rPr>
          <w:rFonts w:ascii="仿宋_GB2312" w:hAnsi="仿宋_GB2312" w:eastAsia="仿宋_GB2312"/>
          <w:b w:val="0"/>
          <w:color w:val="000000"/>
          <w:sz w:val="32"/>
        </w:rPr>
        <w:t>股本与股东结构方面，截至2025年12月31日，公司股东总户数为4.17万户，前十大股东合计持股2.45亿股，占总股本比例为40.42%。第一大股东为山东健康集团有限公司，持股179,249,027股，持股比例29.55%，报告期内增持3,312,500股；第二大股东为山东省国有资产投资控股有限公司，持股25,153,613股，持股比例4.15%。</w:t>
      </w:r>
    </w:p>
    <w:p>
      <w:pPr>
        <w:spacing w:lineRule="exact" w:line="600" w:before="0" w:after="0"/>
        <w:ind w:firstLine="420"/>
        <w:jc w:val="both"/>
      </w:pPr>
      <w:r>
        <w:rPr>
          <w:rFonts w:ascii="仿宋_GB2312" w:hAnsi="仿宋_GB2312" w:eastAsia="仿宋_GB2312"/>
          <w:b w:val="0"/>
          <w:color w:val="000000"/>
          <w:sz w:val="32"/>
        </w:rPr>
        <w:t>前十大股东中还包括：中国工商银行股份有限公司—国联优势产业混合型证券投资基金（8,774,741股，1.45%）、香港中央结算有限公司（6,712,823股，1.11%）、冯国尤（5,126,800股，0.85%）、招商银行股份有限公司—南方中证1000交易型开放式指数证券投资基金（4,454,331股，0.73%）、通用技术集团投资管理有限公司（4,391,172股，0.72%）、上海处厚私募基金管理有限公司—处厚新动能私募证券投资基金（4,100,770股，0.68%）、马敬娥（3,892,000股，0.64%）、张树森（3,357,130股，0.55%）。</w:t>
      </w:r>
    </w:p>
    <w:p>
      <w:pPr>
        <w:spacing w:lineRule="exact" w:line="600" w:before="0" w:after="0"/>
        <w:ind w:firstLine="420"/>
        <w:jc w:val="both"/>
      </w:pPr>
      <w:r>
        <w:rPr>
          <w:rFonts w:ascii="仿宋_GB2312" w:hAnsi="仿宋_GB2312" w:eastAsia="仿宋_GB2312"/>
          <w:b w:val="0"/>
          <w:color w:val="000000"/>
          <w:sz w:val="32"/>
        </w:rPr>
        <w:t>国资属性与层级方面，公司控股股东山东健康集团有限公司为山东省属国有企业，是山东省国资委监管的以医疗健康为主业的省级国有资本运营主体；第二大股东山东省国有资产投资控股有限公司同为山东省属国有资本运营平台。两家省属国资合计持股33.70%，公司实际控制人为山东省人民政府国有资产监督管理委员会。国资层级为"山东省国资委—省属国有资本运营公司—上市公司"三级架构。值得注意的是，中央企业中国通用技术（集团）控股有限责任公司旗下的通用技术集团投资管理有限公司亦位列前十大股东（持股0.72%），体现了央地国资在医疗健康领域的资本交叉。</w:t>
      </w:r>
    </w:p>
    <w:p>
      <w:pPr>
        <w:spacing w:lineRule="exact" w:line="600" w:before="0" w:after="0"/>
        <w:ind w:firstLine="420"/>
        <w:jc w:val="both"/>
      </w:pPr>
      <w:r>
        <w:rPr>
          <w:rFonts w:ascii="仿宋_GB2312" w:hAnsi="仿宋_GB2312" w:eastAsia="仿宋_GB2312"/>
          <w:b w:val="0"/>
          <w:color w:val="000000"/>
          <w:sz w:val="32"/>
        </w:rPr>
        <w:t>公司是淄博市最具代表性的老牌上市公司之一，被媒体称为"淄博老牌医疗器械企业"，其发展历程与淄博高新区药械产业集群的形成高度同构。</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公司经营架构围绕"两大制造主业＋两大延伸业务"构建。据2025年年度报告披露，公司深耕"医疗器械、制药装备"两大制造主业，适度延伸与主业协同的"医疗服务、医疗商贸"，形成链式发展格局。</w:t>
      </w:r>
    </w:p>
    <w:p>
      <w:pPr>
        <w:spacing w:lineRule="exact" w:line="600" w:before="0" w:after="0"/>
        <w:ind w:firstLine="420"/>
        <w:jc w:val="both"/>
      </w:pPr>
      <w:r>
        <w:rPr>
          <w:rFonts w:ascii="仿宋_GB2312" w:hAnsi="仿宋_GB2312" w:eastAsia="仿宋_GB2312"/>
          <w:b w:val="0"/>
          <w:color w:val="000000"/>
          <w:sz w:val="32"/>
        </w:rPr>
        <w:t>按2025年年报主营业务构成，四大板块收入及占比为：医疗器械66.06亿元，占比67.85%（其中医疗器械制造产品36.95亿元、占比37.95%，医疗商贸产品29.11亿元、占比29.90%）；制药装备21.87亿元，占比22.46%；医疗服务6.78亿元，占比6.97%；其他2.65亿元，占比2.72%。</w:t>
      </w:r>
    </w:p>
    <w:p>
      <w:pPr>
        <w:spacing w:lineRule="exact" w:line="600" w:before="0" w:after="0"/>
        <w:ind w:firstLine="420"/>
        <w:jc w:val="both"/>
      </w:pPr>
      <w:r>
        <w:rPr>
          <w:rFonts w:ascii="仿宋_GB2312" w:hAnsi="仿宋_GB2312" w:eastAsia="仿宋_GB2312"/>
          <w:b w:val="0"/>
          <w:color w:val="000000"/>
          <w:sz w:val="32"/>
        </w:rPr>
        <w:t>按地区划分，2025年境内收入93.40亿元，占比95.93%；境外收入3.96亿元，占比4.07%。公司业务以国内市场为绝对主体，国际化程度相对较低，这与同集群的新华制药（国际业务占比较高）形成鲜明对比。</w:t>
      </w:r>
    </w:p>
    <w:p>
      <w:pPr>
        <w:spacing w:lineRule="exact" w:line="600" w:before="0" w:after="0"/>
        <w:ind w:firstLine="420"/>
        <w:jc w:val="both"/>
      </w:pPr>
      <w:r>
        <w:rPr>
          <w:rFonts w:ascii="仿宋_GB2312" w:hAnsi="仿宋_GB2312" w:eastAsia="仿宋_GB2312"/>
          <w:b w:val="0"/>
          <w:color w:val="000000"/>
          <w:sz w:val="32"/>
        </w:rPr>
        <w:t>公司在过去数年持续推进组织与资产的"瘦身健体"，通过剥离亏损医院、处置低效资产，将资源集中于医疗器械与制药装备两大核心制造板块。这一战略被媒体评价为"国企瘦身健体的样本"。</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公司是我国医疗器械行业的奠基型企业之一，在消毒灭菌设备、放射治疗设备、手术器械、体外诊断、制药装备等多个领域拥有长期的技术积累与品牌沉淀，其消毒灭菌产品长期居于国内市场领先地位。</w:t>
      </w:r>
    </w:p>
    <w:p>
      <w:pPr>
        <w:spacing w:lineRule="exact" w:line="600" w:before="0" w:after="0"/>
        <w:ind w:firstLine="420"/>
        <w:jc w:val="both"/>
      </w:pPr>
      <w:r>
        <w:rPr>
          <w:rFonts w:ascii="仿宋_GB2312" w:hAnsi="仿宋_GB2312" w:eastAsia="仿宋_GB2312"/>
          <w:b w:val="0"/>
          <w:color w:val="000000"/>
          <w:sz w:val="32"/>
        </w:rPr>
        <w:t>公司A股于上海证券交易所上市（代码600587），是山东省资本市场的老牌上市公司。上市后，公司通过一系列并购快速扩张，业务一度延伸至医疗服务（医院投资运营）、医疗商贸（医疗器械流通）等领域，形成"制造＋服务＋商贸"的多元格局。</w:t>
      </w:r>
    </w:p>
    <w:p>
      <w:pPr>
        <w:spacing w:lineRule="exact" w:line="600" w:before="0" w:after="0"/>
        <w:ind w:firstLine="420"/>
        <w:jc w:val="both"/>
      </w:pPr>
      <w:r>
        <w:rPr>
          <w:rFonts w:ascii="仿宋_GB2312" w:hAnsi="仿宋_GB2312" w:eastAsia="仿宋_GB2312"/>
          <w:b w:val="0"/>
          <w:color w:val="000000"/>
          <w:sz w:val="32"/>
        </w:rPr>
        <w:t>2020年前后，公司开始战略调整，进入"卖卖卖"的资产优化阶段——剥离亏损医院资产、处置低效股权，收缩多元化战线。公司将这一阶段的战略概括为"调结构、强主业、提效益、防风险"十二字方针。该战略在2023—2024年取得明显成效：营业收入连续两年站上百亿元（2023年100.12亿元、2024年100.21亿元），归母净利润由2022年的5.00亿元升至2023年的6.54亿元、2024年的6.92亿元。</w:t>
      </w:r>
    </w:p>
    <w:p>
      <w:pPr>
        <w:spacing w:lineRule="exact" w:line="600" w:before="0" w:after="0"/>
        <w:ind w:firstLine="420"/>
        <w:jc w:val="both"/>
      </w:pPr>
      <w:r>
        <w:rPr>
          <w:rFonts w:ascii="仿宋_GB2312" w:hAnsi="仿宋_GB2312" w:eastAsia="仿宋_GB2312"/>
          <w:b w:val="0"/>
          <w:color w:val="000000"/>
          <w:sz w:val="32"/>
        </w:rPr>
        <w:t>2025年成为战略成效的检验之年。当年公司营业收入97.36亿元，同比下降2.84%，跌破百亿门槛；归母净利润5.26亿元，同比下滑23.90%。媒体评论指出，当多元化"包袱"真正卸下后，露出来的主业肌体并没有想象中强壮，这一判断切中了公司当前转型的核心命题。</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公司战略定位为"医疗器械与制药装备领域的综合解决方案提供商"。主业方向明确表述为：深耕"医疗器械、制药装备"两大制造主业，适度延伸与主业协同的"医疗服务、医疗商贸"链式发展。</w:t>
      </w:r>
    </w:p>
    <w:p>
      <w:pPr>
        <w:spacing w:lineRule="exact" w:line="600" w:before="0" w:after="0"/>
        <w:ind w:firstLine="420"/>
        <w:jc w:val="both"/>
      </w:pPr>
      <w:r>
        <w:rPr>
          <w:rFonts w:ascii="仿宋_GB2312" w:hAnsi="仿宋_GB2312" w:eastAsia="仿宋_GB2312"/>
          <w:b w:val="0"/>
          <w:color w:val="000000"/>
          <w:sz w:val="32"/>
        </w:rPr>
        <w:t>核心产品与服务包括：一是医疗器械制造，涵盖消毒灭菌设备与耗材、放射诊疗设备、手术器械与手术室整体解决方案、体外诊断产品、生物医疗设备等，2025年收入36.95亿元；二是制药装备，为制药企业提供灭菌、洗烘灌封、生物工程设备等成套装备，2025年收入21.87亿元；三是医疗商贸，从事医疗器械与医用耗材的流通配送，2025年收入29.11亿元；四是医疗服务，主要为医院运营等，2025年收入6.78亿元。</w:t>
      </w:r>
    </w:p>
    <w:p>
      <w:pPr>
        <w:spacing w:lineRule="exact" w:line="600" w:before="0" w:after="0"/>
        <w:ind w:firstLine="420"/>
        <w:jc w:val="both"/>
      </w:pPr>
      <w:r>
        <w:rPr>
          <w:rFonts w:ascii="仿宋_GB2312" w:hAnsi="仿宋_GB2312" w:eastAsia="仿宋_GB2312"/>
          <w:b w:val="0"/>
          <w:color w:val="000000"/>
          <w:sz w:val="32"/>
        </w:rPr>
        <w:t>在集群中的定位方面，公司是"药品及医疗器械"集群中器械与装备侧的链主：其制药装备业务直接服务于新华制药等制剂企业的生产线建设，其医疗器械业务则带动淄博本地大量精密加工、电子元件、注塑与包装配套企业发展，是集群内产业关联度最高的企业之一。</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2025年公司四大板块的收入表现分化明显，具体如下表（单位：亿元人民币）：</w:t>
      </w:r>
    </w:p>
    <w:tbl>
      <w:tblPr>
        <w:tblStyle w:val="TableGrid"/>
        <w:tblW w:type="auto" w:w="0"/>
        <w:jc w:val="center"/>
        <w:tblLook w:firstColumn="1" w:firstRow="1" w:lastColumn="0" w:lastRow="0" w:noHBand="0" w:noVBand="1" w:val="04A0"/>
      </w:tblPr>
      <w:tblGrid>
        <w:gridCol w:w="2211"/>
        <w:gridCol w:w="2211"/>
        <w:gridCol w:w="2211"/>
        <w:gridCol w:w="2211"/>
      </w:tblGrid>
      <w:tr>
        <w:tc>
          <w:tcPr>
            <w:tcW w:type="dxa" w:w="2721"/>
          </w:tcPr>
          <w:p>
            <w:pPr>
              <w:spacing w:lineRule="exact" w:line="600"/>
              <w:jc w:val="center"/>
            </w:pPr>
            <w:r/>
            <w:r>
              <w:rPr>
                <w:rFonts w:ascii="黑体" w:hAnsi="黑体" w:eastAsia="黑体"/>
                <w:b/>
                <w:color w:val="000000"/>
                <w:sz w:val="32"/>
              </w:rPr>
              <w:t>业务板块</w:t>
            </w:r>
          </w:p>
        </w:tc>
        <w:tc>
          <w:tcPr>
            <w:tcW w:type="dxa" w:w="1701"/>
          </w:tcPr>
          <w:p>
            <w:pPr>
              <w:spacing w:lineRule="exact" w:line="600"/>
              <w:jc w:val="center"/>
            </w:pPr>
            <w:r/>
            <w:r>
              <w:rPr>
                <w:rFonts w:ascii="黑体" w:hAnsi="黑体" w:eastAsia="黑体"/>
                <w:b/>
                <w:color w:val="000000"/>
                <w:sz w:val="32"/>
              </w:rPr>
              <w:t>2025年收入</w:t>
            </w:r>
          </w:p>
        </w:tc>
        <w:tc>
          <w:tcPr>
            <w:tcW w:type="dxa" w:w="1474"/>
          </w:tcPr>
          <w:p>
            <w:pPr>
              <w:spacing w:lineRule="exact" w:line="600"/>
              <w:jc w:val="center"/>
            </w:pPr>
            <w:r/>
            <w:r>
              <w:rPr>
                <w:rFonts w:ascii="黑体" w:hAnsi="黑体" w:eastAsia="黑体"/>
                <w:b/>
                <w:color w:val="000000"/>
                <w:sz w:val="32"/>
              </w:rPr>
              <w:t>占比(%)</w:t>
            </w:r>
          </w:p>
        </w:tc>
        <w:tc>
          <w:tcPr>
            <w:tcW w:type="dxa" w:w="1701"/>
          </w:tcPr>
          <w:p>
            <w:pPr>
              <w:spacing w:lineRule="exact" w:line="600"/>
              <w:jc w:val="center"/>
            </w:pPr>
            <w:r/>
            <w:r>
              <w:rPr>
                <w:rFonts w:ascii="黑体" w:hAnsi="黑体" w:eastAsia="黑体"/>
                <w:b/>
                <w:color w:val="000000"/>
                <w:sz w:val="32"/>
              </w:rPr>
              <w:t>同比变动</w:t>
            </w:r>
          </w:p>
        </w:tc>
      </w:tr>
      <w:tr>
        <w:tc>
          <w:tcPr>
            <w:tcW w:type="dxa" w:w="2721"/>
          </w:tcPr>
          <w:p>
            <w:pPr>
              <w:spacing w:lineRule="exact" w:line="600"/>
              <w:jc w:val="center"/>
            </w:pPr>
            <w:r/>
            <w:r>
              <w:rPr>
                <w:rFonts w:ascii="仿宋_GB2312" w:hAnsi="仿宋_GB2312" w:eastAsia="仿宋_GB2312"/>
                <w:b w:val="0"/>
                <w:color w:val="000000"/>
                <w:sz w:val="32"/>
              </w:rPr>
              <w:t>医疗器械制造产品</w:t>
            </w:r>
          </w:p>
        </w:tc>
        <w:tc>
          <w:tcPr>
            <w:tcW w:type="dxa" w:w="1701"/>
          </w:tcPr>
          <w:p>
            <w:pPr>
              <w:spacing w:lineRule="exact" w:line="600"/>
              <w:jc w:val="center"/>
            </w:pPr>
            <w:r/>
            <w:r>
              <w:rPr>
                <w:rFonts w:ascii="仿宋_GB2312" w:hAnsi="仿宋_GB2312" w:eastAsia="仿宋_GB2312"/>
                <w:b w:val="0"/>
                <w:color w:val="000000"/>
                <w:sz w:val="32"/>
              </w:rPr>
              <w:t>36.95</w:t>
            </w:r>
          </w:p>
        </w:tc>
        <w:tc>
          <w:tcPr>
            <w:tcW w:type="dxa" w:w="1474"/>
          </w:tcPr>
          <w:p>
            <w:pPr>
              <w:spacing w:lineRule="exact" w:line="600"/>
              <w:jc w:val="center"/>
            </w:pPr>
            <w:r/>
            <w:r>
              <w:rPr>
                <w:rFonts w:ascii="仿宋_GB2312" w:hAnsi="仿宋_GB2312" w:eastAsia="仿宋_GB2312"/>
                <w:b w:val="0"/>
                <w:color w:val="000000"/>
                <w:sz w:val="32"/>
              </w:rPr>
              <w:t>37.95</w:t>
            </w:r>
          </w:p>
        </w:tc>
        <w:tc>
          <w:tcPr>
            <w:tcW w:type="dxa" w:w="1701"/>
          </w:tcPr>
          <w:p>
            <w:pPr>
              <w:spacing w:lineRule="exact" w:line="600"/>
              <w:jc w:val="center"/>
            </w:pPr>
            <w:r/>
            <w:r>
              <w:rPr>
                <w:rFonts w:ascii="仿宋_GB2312" w:hAnsi="仿宋_GB2312" w:eastAsia="仿宋_GB2312"/>
                <w:b w:val="0"/>
                <w:color w:val="000000"/>
                <w:sz w:val="32"/>
              </w:rPr>
              <w:t>-1.08%</w:t>
            </w:r>
          </w:p>
        </w:tc>
      </w:tr>
      <w:tr>
        <w:tc>
          <w:tcPr>
            <w:tcW w:type="dxa" w:w="2721"/>
          </w:tcPr>
          <w:p>
            <w:pPr>
              <w:spacing w:lineRule="exact" w:line="600"/>
              <w:jc w:val="center"/>
            </w:pPr>
            <w:r/>
            <w:r>
              <w:rPr>
                <w:rFonts w:ascii="仿宋_GB2312" w:hAnsi="仿宋_GB2312" w:eastAsia="仿宋_GB2312"/>
                <w:b w:val="0"/>
                <w:color w:val="000000"/>
                <w:sz w:val="32"/>
              </w:rPr>
              <w:t>医疗商贸产品</w:t>
            </w:r>
          </w:p>
        </w:tc>
        <w:tc>
          <w:tcPr>
            <w:tcW w:type="dxa" w:w="1701"/>
          </w:tcPr>
          <w:p>
            <w:pPr>
              <w:spacing w:lineRule="exact" w:line="600"/>
              <w:jc w:val="center"/>
            </w:pPr>
            <w:r/>
            <w:r>
              <w:rPr>
                <w:rFonts w:ascii="仿宋_GB2312" w:hAnsi="仿宋_GB2312" w:eastAsia="仿宋_GB2312"/>
                <w:b w:val="0"/>
                <w:color w:val="000000"/>
                <w:sz w:val="32"/>
              </w:rPr>
              <w:t>29.11</w:t>
            </w:r>
          </w:p>
        </w:tc>
        <w:tc>
          <w:tcPr>
            <w:tcW w:type="dxa" w:w="1474"/>
          </w:tcPr>
          <w:p>
            <w:pPr>
              <w:spacing w:lineRule="exact" w:line="600"/>
              <w:jc w:val="center"/>
            </w:pPr>
            <w:r/>
            <w:r>
              <w:rPr>
                <w:rFonts w:ascii="仿宋_GB2312" w:hAnsi="仿宋_GB2312" w:eastAsia="仿宋_GB2312"/>
                <w:b w:val="0"/>
                <w:color w:val="000000"/>
                <w:sz w:val="32"/>
              </w:rPr>
              <w:t>29.90</w:t>
            </w:r>
          </w:p>
        </w:tc>
        <w:tc>
          <w:tcPr>
            <w:tcW w:type="dxa" w:w="1701"/>
          </w:tcPr>
          <w:p>
            <w:pPr>
              <w:spacing w:lineRule="exact" w:line="600"/>
              <w:jc w:val="center"/>
            </w:pPr>
            <w:r/>
            <w:r>
              <w:rPr>
                <w:rFonts w:ascii="仿宋_GB2312" w:hAnsi="仿宋_GB2312" w:eastAsia="仿宋_GB2312"/>
                <w:b w:val="0"/>
                <w:color w:val="000000"/>
                <w:sz w:val="32"/>
              </w:rPr>
              <w:t>-6.83%</w:t>
            </w:r>
          </w:p>
        </w:tc>
      </w:tr>
      <w:tr>
        <w:tc>
          <w:tcPr>
            <w:tcW w:type="dxa" w:w="2721"/>
          </w:tcPr>
          <w:p>
            <w:pPr>
              <w:spacing w:lineRule="exact" w:line="600"/>
              <w:jc w:val="center"/>
            </w:pPr>
            <w:r/>
            <w:r>
              <w:rPr>
                <w:rFonts w:ascii="仿宋_GB2312" w:hAnsi="仿宋_GB2312" w:eastAsia="仿宋_GB2312"/>
                <w:b w:val="0"/>
                <w:color w:val="000000"/>
                <w:sz w:val="32"/>
              </w:rPr>
              <w:t>制药装备产品</w:t>
            </w:r>
          </w:p>
        </w:tc>
        <w:tc>
          <w:tcPr>
            <w:tcW w:type="dxa" w:w="1701"/>
          </w:tcPr>
          <w:p>
            <w:pPr>
              <w:spacing w:lineRule="exact" w:line="600"/>
              <w:jc w:val="center"/>
            </w:pPr>
            <w:r/>
            <w:r>
              <w:rPr>
                <w:rFonts w:ascii="仿宋_GB2312" w:hAnsi="仿宋_GB2312" w:eastAsia="仿宋_GB2312"/>
                <w:b w:val="0"/>
                <w:color w:val="000000"/>
                <w:sz w:val="32"/>
              </w:rPr>
              <w:t>21.87</w:t>
            </w:r>
          </w:p>
        </w:tc>
        <w:tc>
          <w:tcPr>
            <w:tcW w:type="dxa" w:w="1474"/>
          </w:tcPr>
          <w:p>
            <w:pPr>
              <w:spacing w:lineRule="exact" w:line="600"/>
              <w:jc w:val="center"/>
            </w:pPr>
            <w:r/>
            <w:r>
              <w:rPr>
                <w:rFonts w:ascii="仿宋_GB2312" w:hAnsi="仿宋_GB2312" w:eastAsia="仿宋_GB2312"/>
                <w:b w:val="0"/>
                <w:color w:val="000000"/>
                <w:sz w:val="32"/>
              </w:rPr>
              <w:t>22.46</w:t>
            </w:r>
          </w:p>
        </w:tc>
        <w:tc>
          <w:tcPr>
            <w:tcW w:type="dxa" w:w="1701"/>
          </w:tcPr>
          <w:p>
            <w:pPr>
              <w:spacing w:lineRule="exact" w:line="600"/>
              <w:jc w:val="center"/>
            </w:pPr>
            <w:r/>
            <w:r>
              <w:rPr>
                <w:rFonts w:ascii="仿宋_GB2312" w:hAnsi="仿宋_GB2312" w:eastAsia="仿宋_GB2312"/>
                <w:b w:val="0"/>
                <w:color w:val="000000"/>
                <w:sz w:val="32"/>
              </w:rPr>
              <w:t>+0.74%</w:t>
            </w:r>
          </w:p>
        </w:tc>
      </w:tr>
      <w:tr>
        <w:tc>
          <w:tcPr>
            <w:tcW w:type="dxa" w:w="2721"/>
          </w:tcPr>
          <w:p>
            <w:pPr>
              <w:spacing w:lineRule="exact" w:line="600"/>
              <w:jc w:val="center"/>
            </w:pPr>
            <w:r/>
            <w:r>
              <w:rPr>
                <w:rFonts w:ascii="仿宋_GB2312" w:hAnsi="仿宋_GB2312" w:eastAsia="仿宋_GB2312"/>
                <w:b w:val="0"/>
                <w:color w:val="000000"/>
                <w:sz w:val="32"/>
              </w:rPr>
              <w:t>医疗服务</w:t>
            </w:r>
          </w:p>
        </w:tc>
        <w:tc>
          <w:tcPr>
            <w:tcW w:type="dxa" w:w="1701"/>
          </w:tcPr>
          <w:p>
            <w:pPr>
              <w:spacing w:lineRule="exact" w:line="600"/>
              <w:jc w:val="center"/>
            </w:pPr>
            <w:r/>
            <w:r>
              <w:rPr>
                <w:rFonts w:ascii="仿宋_GB2312" w:hAnsi="仿宋_GB2312" w:eastAsia="仿宋_GB2312"/>
                <w:b w:val="0"/>
                <w:color w:val="000000"/>
                <w:sz w:val="32"/>
              </w:rPr>
              <w:t>6.78</w:t>
            </w:r>
          </w:p>
        </w:tc>
        <w:tc>
          <w:tcPr>
            <w:tcW w:type="dxa" w:w="1474"/>
          </w:tcPr>
          <w:p>
            <w:pPr>
              <w:spacing w:lineRule="exact" w:line="600"/>
              <w:jc w:val="center"/>
            </w:pPr>
            <w:r/>
            <w:r>
              <w:rPr>
                <w:rFonts w:ascii="仿宋_GB2312" w:hAnsi="仿宋_GB2312" w:eastAsia="仿宋_GB2312"/>
                <w:b w:val="0"/>
                <w:color w:val="000000"/>
                <w:sz w:val="32"/>
              </w:rPr>
              <w:t>6.97</w:t>
            </w:r>
          </w:p>
        </w:tc>
        <w:tc>
          <w:tcPr>
            <w:tcW w:type="dxa" w:w="1701"/>
          </w:tcPr>
          <w:p>
            <w:pPr>
              <w:spacing w:lineRule="exact" w:line="600"/>
              <w:jc w:val="center"/>
            </w:pPr>
            <w:r/>
            <w:r>
              <w:rPr>
                <w:rFonts w:ascii="仿宋_GB2312" w:hAnsi="仿宋_GB2312" w:eastAsia="仿宋_GB2312"/>
                <w:b w:val="0"/>
                <w:color w:val="000000"/>
                <w:sz w:val="32"/>
              </w:rPr>
              <w:t>-18.70%</w:t>
            </w:r>
          </w:p>
        </w:tc>
      </w:tr>
      <w:tr>
        <w:tc>
          <w:tcPr>
            <w:tcW w:type="dxa" w:w="2721"/>
          </w:tcPr>
          <w:p>
            <w:pPr>
              <w:spacing w:lineRule="exact" w:line="600"/>
              <w:jc w:val="center"/>
            </w:pPr>
            <w:r/>
            <w:r>
              <w:rPr>
                <w:rFonts w:ascii="仿宋_GB2312" w:hAnsi="仿宋_GB2312" w:eastAsia="仿宋_GB2312"/>
                <w:b w:val="0"/>
                <w:color w:val="000000"/>
                <w:sz w:val="32"/>
              </w:rPr>
              <w:t>其他</w:t>
            </w:r>
          </w:p>
        </w:tc>
        <w:tc>
          <w:tcPr>
            <w:tcW w:type="dxa" w:w="1701"/>
          </w:tcPr>
          <w:p>
            <w:pPr>
              <w:spacing w:lineRule="exact" w:line="600"/>
              <w:jc w:val="center"/>
            </w:pPr>
            <w:r/>
            <w:r>
              <w:rPr>
                <w:rFonts w:ascii="仿宋_GB2312" w:hAnsi="仿宋_GB2312" w:eastAsia="仿宋_GB2312"/>
                <w:b w:val="0"/>
                <w:color w:val="000000"/>
                <w:sz w:val="32"/>
              </w:rPr>
              <w:t>2.65</w:t>
            </w:r>
          </w:p>
        </w:tc>
        <w:tc>
          <w:tcPr>
            <w:tcW w:type="dxa" w:w="1474"/>
          </w:tcPr>
          <w:p>
            <w:pPr>
              <w:spacing w:lineRule="exact" w:line="600"/>
              <w:jc w:val="center"/>
            </w:pPr>
            <w:r/>
            <w:r>
              <w:rPr>
                <w:rFonts w:ascii="仿宋_GB2312" w:hAnsi="仿宋_GB2312" w:eastAsia="仿宋_GB2312"/>
                <w:b w:val="0"/>
                <w:color w:val="000000"/>
                <w:sz w:val="32"/>
              </w:rPr>
              <w:t>2.72</w:t>
            </w:r>
          </w:p>
        </w:tc>
        <w:tc>
          <w:tcPr>
            <w:tcW w:type="dxa" w:w="1701"/>
          </w:tcPr>
          <w:p>
            <w:pPr>
              <w:spacing w:lineRule="exact" w:line="600"/>
              <w:jc w:val="center"/>
            </w:pPr>
            <w:r/>
            <w:r>
              <w:rPr>
                <w:rFonts w:ascii="仿宋_GB2312" w:hAnsi="仿宋_GB2312" w:eastAsia="仿宋_GB2312"/>
                <w:b w:val="0"/>
                <w:color w:val="000000"/>
                <w:sz w:val="32"/>
              </w:rPr>
              <w:t>—</w:t>
            </w:r>
          </w:p>
        </w:tc>
      </w:tr>
      <w:tr>
        <w:tc>
          <w:tcPr>
            <w:tcW w:type="dxa" w:w="2721"/>
          </w:tcPr>
          <w:p>
            <w:pPr>
              <w:spacing w:lineRule="exact" w:line="600"/>
              <w:jc w:val="center"/>
            </w:pPr>
            <w:r/>
            <w:r>
              <w:rPr>
                <w:rFonts w:ascii="仿宋_GB2312" w:hAnsi="仿宋_GB2312" w:eastAsia="仿宋_GB2312"/>
                <w:b w:val="0"/>
                <w:color w:val="000000"/>
                <w:sz w:val="32"/>
              </w:rPr>
              <w:t>合计</w:t>
            </w:r>
          </w:p>
        </w:tc>
        <w:tc>
          <w:tcPr>
            <w:tcW w:type="dxa" w:w="1701"/>
          </w:tcPr>
          <w:p>
            <w:pPr>
              <w:spacing w:lineRule="exact" w:line="600"/>
              <w:jc w:val="center"/>
            </w:pPr>
            <w:r/>
            <w:r>
              <w:rPr>
                <w:rFonts w:ascii="仿宋_GB2312" w:hAnsi="仿宋_GB2312" w:eastAsia="仿宋_GB2312"/>
                <w:b w:val="0"/>
                <w:color w:val="000000"/>
                <w:sz w:val="32"/>
              </w:rPr>
              <w:t>97.36</w:t>
            </w:r>
          </w:p>
        </w:tc>
        <w:tc>
          <w:tcPr>
            <w:tcW w:type="dxa" w:w="1474"/>
          </w:tcPr>
          <w:p>
            <w:pPr>
              <w:spacing w:lineRule="exact" w:line="600"/>
              <w:jc w:val="center"/>
            </w:pPr>
            <w:r/>
            <w:r>
              <w:rPr>
                <w:rFonts w:ascii="仿宋_GB2312" w:hAnsi="仿宋_GB2312" w:eastAsia="仿宋_GB2312"/>
                <w:b w:val="0"/>
                <w:color w:val="000000"/>
                <w:sz w:val="32"/>
              </w:rPr>
              <w:t>100.00</w:t>
            </w:r>
          </w:p>
        </w:tc>
        <w:tc>
          <w:tcPr>
            <w:tcW w:type="dxa" w:w="1701"/>
          </w:tcPr>
          <w:p>
            <w:pPr>
              <w:spacing w:lineRule="exact" w:line="600"/>
              <w:jc w:val="center"/>
            </w:pPr>
            <w:r/>
            <w:r>
              <w:rPr>
                <w:rFonts w:ascii="仿宋_GB2312" w:hAnsi="仿宋_GB2312" w:eastAsia="仿宋_GB2312"/>
                <w:b w:val="0"/>
                <w:color w:val="000000"/>
                <w:sz w:val="32"/>
              </w:rPr>
              <w:t>-2.84%</w:t>
            </w:r>
          </w:p>
        </w:tc>
      </w:tr>
    </w:tbl>
    <w:p>
      <w:pPr>
        <w:spacing w:lineRule="exact" w:line="600" w:before="0" w:after="0"/>
        <w:ind w:firstLine="420"/>
        <w:jc w:val="both"/>
      </w:pPr>
      <w:r>
        <w:rPr>
          <w:rFonts w:ascii="仿宋_GB2312" w:hAnsi="仿宋_GB2312" w:eastAsia="仿宋_GB2312"/>
          <w:b w:val="0"/>
          <w:color w:val="000000"/>
          <w:sz w:val="32"/>
        </w:rPr>
        <w:t>结构分析显示：制药装备是2025年唯一实现正增长的板块（+0.74%），虽增幅微弱但显示出韧性；医疗器械制造微降1.08%，勉强持平；真正拖累全局的是医疗商贸（-6.83%）与医疗服务（-18.70%）。医疗服务的大幅下滑与公司持续剥离医院资产的战略直接相关，属于主动收缩；医疗商贸的下滑则更多反映流通端的行业性压力。</w:t>
      </w:r>
    </w:p>
    <w:p>
      <w:pPr>
        <w:spacing w:lineRule="exact" w:line="600" w:before="0" w:after="0"/>
        <w:ind w:firstLine="420"/>
        <w:jc w:val="both"/>
      </w:pPr>
      <w:r>
        <w:rPr>
          <w:rFonts w:ascii="仿宋_GB2312" w:hAnsi="仿宋_GB2312" w:eastAsia="仿宋_GB2312"/>
          <w:b w:val="0"/>
          <w:color w:val="000000"/>
          <w:sz w:val="32"/>
        </w:rPr>
        <w:t>值得警惕的是节奏问题：2025年上半年，医疗器械制造产品收入已同比下降10.71%，医疗商贸产品同比下滑12.21%。尽管下半年有所回补，但全年看两大核心板块仍呈"一平一跌"，说明主业增长动能确实不足。</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医疗器械制造是公司的立身之本，产品线覆盖消毒灭菌、放射诊疗、手术器械与感染控制等领域。公司在消毒灭菌设备领域具有国内领先的市场地位与品牌积淀，产品广泛应用于各级医疗机构的消毒供应中心。2025年该板块收入36.95亿元、同比微降1.08%，表现基本稳定。</w:t>
      </w:r>
    </w:p>
    <w:p>
      <w:pPr>
        <w:spacing w:lineRule="exact" w:line="600" w:before="0" w:after="0"/>
        <w:ind w:firstLine="420"/>
        <w:jc w:val="both"/>
      </w:pPr>
      <w:r>
        <w:rPr>
          <w:rFonts w:ascii="仿宋_GB2312" w:hAnsi="仿宋_GB2312" w:eastAsia="仿宋_GB2312"/>
          <w:b w:val="0"/>
          <w:color w:val="000000"/>
          <w:sz w:val="32"/>
        </w:rPr>
        <w:t>制药装备是公司的第二大制造板块，2025年收入21.87亿元、同比增长0.74%，是唯一正增长板块。制药装备与医药行业的固定资产投资周期相关，在医药行业整体投资收缩的背景下仍能保持正增长，说明公司在该领域具备较强的订单获取能力。但该板块毛利率在2025年下降3.30个百分点，是四大板块中降幅最大的，反映装备行业竞争加剧、议价能力承压。</w:t>
      </w:r>
    </w:p>
    <w:p>
      <w:pPr>
        <w:spacing w:lineRule="exact" w:line="600" w:before="0" w:after="0"/>
        <w:ind w:firstLine="420"/>
        <w:jc w:val="both"/>
      </w:pPr>
      <w:r>
        <w:rPr>
          <w:rFonts w:ascii="仿宋_GB2312" w:hAnsi="仿宋_GB2312" w:eastAsia="仿宋_GB2312"/>
          <w:b w:val="0"/>
          <w:color w:val="000000"/>
          <w:sz w:val="32"/>
        </w:rPr>
        <w:t>医疗商贸板块2025年收入29.11亿元、同比下降6.83%。该业务属于流通性质，毛利率天然偏低，但收入体量大（占比29.90%），对整体毛利率形成结构性稀释。</w:t>
      </w:r>
    </w:p>
    <w:p>
      <w:pPr>
        <w:spacing w:lineRule="exact" w:line="600" w:before="0" w:after="0"/>
        <w:ind w:firstLine="420"/>
        <w:jc w:val="both"/>
      </w:pPr>
      <w:r>
        <w:rPr>
          <w:rFonts w:ascii="仿宋_GB2312" w:hAnsi="仿宋_GB2312" w:eastAsia="仿宋_GB2312"/>
          <w:b w:val="0"/>
          <w:color w:val="000000"/>
          <w:sz w:val="32"/>
        </w:rPr>
        <w:t>医疗服务板块2025年收入6.78亿元、同比大幅下降18.70%，主要系公司持续剥离医院资产所致，属于战略性收缩。</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公司客户群体主要包括：各级公立与民营医疗机构（医疗器械与感染控制产品）、制药企业（制药装备）、医药与器械流通企业（医疗商贸）、以及政府卫生主管部门主导的集中采购项目。</w:t>
      </w:r>
    </w:p>
    <w:p>
      <w:pPr>
        <w:spacing w:lineRule="exact" w:line="600" w:before="0" w:after="0"/>
        <w:ind w:firstLine="420"/>
        <w:jc w:val="both"/>
      </w:pPr>
      <w:r>
        <w:rPr>
          <w:rFonts w:ascii="仿宋_GB2312" w:hAnsi="仿宋_GB2312" w:eastAsia="仿宋_GB2312"/>
          <w:b w:val="0"/>
          <w:color w:val="000000"/>
          <w:sz w:val="32"/>
        </w:rPr>
        <w:t>应收账款是客户结构的重要观察指标。截至2025年末，公司应收账款达19.12亿元，占营业收入之比升至19.64%，且这一比例已连续多年走高。2025年应收账款周转率为5.14次，较行业优秀水平偏低。这反映公司下游客户（尤其是公立医疗机构）回款周期长的行业特征，也是公司营运资金效率的主要制约因素。</w:t>
      </w:r>
    </w:p>
    <w:p>
      <w:pPr>
        <w:spacing w:lineRule="exact" w:line="600" w:before="0" w:after="0"/>
        <w:ind w:firstLine="420"/>
        <w:jc w:val="both"/>
      </w:pPr>
      <w:r>
        <w:rPr>
          <w:rFonts w:ascii="仿宋_GB2312" w:hAnsi="仿宋_GB2312" w:eastAsia="仿宋_GB2312"/>
          <w:b w:val="0"/>
          <w:color w:val="000000"/>
          <w:sz w:val="32"/>
        </w:rPr>
        <w:t>公司未在公开渠道披露前五大客户集中度数据，但从其面向各级医疗机构的分散销售模式判断，客户集中度应处于较低水平，不存在单一客户依赖风险。本报告不对未披露数据作推测。</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公司作为医疗器械与制药装备制造企业，原材料主要包括不锈钢等金属材料、电子元器件、控制系统与软件、精密加工件、医用高分子材料等。医疗商贸板块则需大量采购第三方器械与耗材产品用于分销。</w:t>
      </w:r>
    </w:p>
    <w:p>
      <w:pPr>
        <w:spacing w:lineRule="exact" w:line="600" w:before="0" w:after="0"/>
        <w:ind w:firstLine="420"/>
        <w:jc w:val="both"/>
      </w:pPr>
      <w:r>
        <w:rPr>
          <w:rFonts w:ascii="仿宋_GB2312" w:hAnsi="仿宋_GB2312" w:eastAsia="仿宋_GB2312"/>
          <w:b w:val="0"/>
          <w:color w:val="000000"/>
          <w:sz w:val="32"/>
        </w:rPr>
        <w:t>2025年公司营业成本72.88亿元，占营业收入的74.85%，成本占比较高主要受医疗商贸板块（低毛利流通业务）拉动。公司未公开披露前五大供应商集中度数据，本报告不作推测。</w:t>
      </w:r>
    </w:p>
    <w:p>
      <w:pPr>
        <w:spacing w:lineRule="exact" w:line="600" w:before="0" w:after="0"/>
        <w:ind w:firstLine="420"/>
        <w:jc w:val="both"/>
      </w:pPr>
      <w:r>
        <w:rPr>
          <w:rFonts w:ascii="仿宋_GB2312" w:hAnsi="仿宋_GB2312" w:eastAsia="仿宋_GB2312"/>
          <w:b w:val="0"/>
          <w:color w:val="000000"/>
          <w:sz w:val="32"/>
        </w:rPr>
        <w:t>从淄博高新区药械集群视角看，公司的采购需求带动了本地大量精密机械加工、钣金、电气控制、注塑与包装配套企业，是集群内中小企业最重要的订单来源之一，这也构成了后文供应链金融方案设计的产业基础。</w:t>
      </w:r>
    </w:p>
    <w:p>
      <w:pPr>
        <w:spacing w:lineRule="exact" w:line="600" w:before="120" w:after="120"/>
        <w:ind w:firstLine="420"/>
        <w:jc w:val="left"/>
      </w:pPr>
      <w:r>
        <w:rPr>
          <w:rFonts w:ascii="楷体_GB2312" w:hAnsi="楷体_GB2312" w:eastAsia="楷体_GB2312"/>
          <w:b w:val="0"/>
          <w:color w:val="000000"/>
          <w:sz w:val="32"/>
        </w:rPr>
        <w:t>（五）产能、资源与牌照</w:t>
      </w:r>
    </w:p>
    <w:p>
      <w:pPr>
        <w:spacing w:lineRule="exact" w:line="600" w:before="0" w:after="0"/>
        <w:ind w:firstLine="420"/>
        <w:jc w:val="both"/>
      </w:pPr>
      <w:r>
        <w:rPr>
          <w:rFonts w:ascii="仿宋_GB2312" w:hAnsi="仿宋_GB2312" w:eastAsia="仿宋_GB2312"/>
          <w:b w:val="0"/>
          <w:color w:val="000000"/>
          <w:sz w:val="32"/>
        </w:rPr>
        <w:t>公司在淄博建有大规模的医疗器械与制药装备生产基地。2025年末，公司固定资产较上年末增加19.24%，占总资产比重上升4.29个百分点；在建工程较上年末大幅减少95.49%，占总资产比重下降2.86个百分点。这一组数据表明公司前期的重大在建项目已基本完工转固，新增产能开始投入运营，同时也意味着未来折旧压力将有所上升。</w:t>
      </w:r>
    </w:p>
    <w:p>
      <w:pPr>
        <w:spacing w:lineRule="exact" w:line="600" w:before="0" w:after="0"/>
        <w:ind w:firstLine="420"/>
        <w:jc w:val="both"/>
      </w:pPr>
      <w:r>
        <w:rPr>
          <w:rFonts w:ascii="仿宋_GB2312" w:hAnsi="仿宋_GB2312" w:eastAsia="仿宋_GB2312"/>
          <w:b w:val="0"/>
          <w:color w:val="000000"/>
          <w:sz w:val="32"/>
        </w:rPr>
        <w:t>牌照资质方面，医疗器械实行分类注册与生产许可管理，公司产品涵盖第二类、第三类医疗器械，须持有相应的《医疗器械生产许可证》《医疗器械注册证》，并符合医疗器械生产质量管理规范（GMP）要求。放射诊疗类设备还须满足辐射安全相关许可。医疗商贸业务须持有《医疗器械经营许可证》。大量的注册证与许可证构成实质性的行业准入壁垒。</w:t>
      </w:r>
    </w:p>
    <w:p>
      <w:pPr>
        <w:spacing w:lineRule="exact" w:line="600" w:before="0" w:after="0"/>
        <w:ind w:firstLine="420"/>
        <w:jc w:val="both"/>
      </w:pPr>
      <w:r>
        <w:rPr>
          <w:rFonts w:ascii="仿宋_GB2312" w:hAnsi="仿宋_GB2312" w:eastAsia="仿宋_GB2312"/>
          <w:b w:val="0"/>
          <w:color w:val="000000"/>
          <w:sz w:val="32"/>
        </w:rPr>
        <w:t>研发资源方面，2025年公司研发总投入4.42亿元，同比增长1.36%，研发投入占营业收入比例4.54%，相比上年同期上升0.19个百分点，创近五年新高。在行业排名中，公司研发总投入在已披露的同业公司中排名第10，规模居前；但研发投入占比排名第123，说明公司研发绝对额大而强度相对不高，这是大体量制造企业的普遍特征。</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销售体系兼具直销与经销两种模式。大型医疗设备与制药装备以直销为主，需要专业的技术销售与售后服务团队；常规器械与耗材通过经销网络覆盖基层市场；医疗商贸板块本身即为渠道业务，承担配送与集成供应职能。</w:t>
      </w:r>
    </w:p>
    <w:p>
      <w:pPr>
        <w:spacing w:lineRule="exact" w:line="600" w:before="0" w:after="0"/>
        <w:ind w:firstLine="420"/>
        <w:jc w:val="both"/>
      </w:pPr>
      <w:r>
        <w:rPr>
          <w:rFonts w:ascii="仿宋_GB2312" w:hAnsi="仿宋_GB2312" w:eastAsia="仿宋_GB2312"/>
          <w:b w:val="0"/>
          <w:color w:val="000000"/>
          <w:sz w:val="32"/>
        </w:rPr>
        <w:t>2025年公司销售费用8.94亿元，同比增长2.93%，主要系市场推广费增加所致。在营业收入下降2.84%的背景下销售费用逆势增长，说明市场竞争加剧、获客成本上升，销售费用率被动抬升，是侵蚀利润的因素之一。</w:t>
      </w:r>
    </w:p>
    <w:p>
      <w:pPr>
        <w:spacing w:lineRule="exact" w:line="600" w:before="0" w:after="0"/>
        <w:ind w:firstLine="420"/>
        <w:jc w:val="both"/>
      </w:pPr>
      <w:r>
        <w:rPr>
          <w:rFonts w:ascii="仿宋_GB2312" w:hAnsi="仿宋_GB2312" w:eastAsia="仿宋_GB2312"/>
          <w:b w:val="0"/>
          <w:color w:val="000000"/>
          <w:sz w:val="32"/>
        </w:rPr>
        <w:t>国际化方面，2025年境外收入3.96亿元，仅占4.07%，国际市场拓展空间巨大但目前贡献有限。</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规模指标方面，2025年公司营业总收入97.36亿元，在已披露的同业公司中排名第4，规模优势显著；归母净利润5.26亿元，在同业中排名第16，规模排名与利润排名的显著错位，直观反映公司"大而不强"的现状。</w:t>
      </w:r>
    </w:p>
    <w:p>
      <w:pPr>
        <w:spacing w:lineRule="exact" w:line="600" w:before="0" w:after="0"/>
        <w:ind w:firstLine="420"/>
        <w:jc w:val="both"/>
      </w:pPr>
      <w:r>
        <w:rPr>
          <w:rFonts w:ascii="仿宋_GB2312" w:hAnsi="仿宋_GB2312" w:eastAsia="仿宋_GB2312"/>
          <w:b w:val="0"/>
          <w:color w:val="000000"/>
          <w:sz w:val="32"/>
        </w:rPr>
        <w:t>效率指标方面，2025年总资产周转率0.64次，在已披露同业公司中排名第10，周转效率居前；存货周转率2.33次，同比提升8.61%，在同业中排名第59；应收账款周转率5.14次；流动资产周转率1.07次。总资产周转率的领先说明公司资产运用效率较高，这是其规模化经营的优势所在。</w:t>
      </w:r>
    </w:p>
    <w:p>
      <w:pPr>
        <w:spacing w:lineRule="exact" w:line="600" w:before="0" w:after="0"/>
        <w:ind w:firstLine="420"/>
        <w:jc w:val="both"/>
      </w:pPr>
      <w:r>
        <w:rPr>
          <w:rFonts w:ascii="仿宋_GB2312" w:hAnsi="仿宋_GB2312" w:eastAsia="仿宋_GB2312"/>
          <w:b w:val="0"/>
          <w:color w:val="000000"/>
          <w:sz w:val="32"/>
        </w:rPr>
        <w:t>盈利质量指标方面，2025年毛利率25.15%在同业中排名第123，处于中下游；ROE 6.89%排名第53；资产负债率46.31%排名第130（即负债率相对较高）。综合看，公司在"规模与周转"上占优，在"毛利与回报"上落后。</w:t>
      </w:r>
    </w:p>
    <w:p>
      <w:pPr>
        <w:spacing w:lineRule="exact" w:line="600" w:before="0" w:after="0"/>
        <w:ind w:firstLine="420"/>
        <w:jc w:val="both"/>
      </w:pPr>
      <w:r>
        <w:rPr>
          <w:rFonts w:ascii="仿宋_GB2312" w:hAnsi="仿宋_GB2312" w:eastAsia="仿宋_GB2312"/>
          <w:b w:val="0"/>
          <w:color w:val="000000"/>
          <w:sz w:val="32"/>
        </w:rPr>
        <w:t>公司未披露具体细分产品的市场占有率数据。从定性判断，公司在医用消毒灭菌设备领域居国内领先地位，在制药装备领域属国内第一梯队，本报告不作量化推测。</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下表列示公司2022—2025年主要会计数据（单位：亿元人民币）：</w:t>
      </w:r>
    </w:p>
    <w:tbl>
      <w:tblPr>
        <w:tblStyle w:val="TableGrid"/>
        <w:tblW w:type="auto" w:w="0"/>
        <w:jc w:val="center"/>
        <w:tblLook w:firstColumn="1" w:firstRow="1" w:lastColumn="0" w:lastRow="0" w:noHBand="0" w:noVBand="1" w:val="04A0"/>
      </w:tblPr>
      <w:tblGrid>
        <w:gridCol w:w="1769"/>
        <w:gridCol w:w="1769"/>
        <w:gridCol w:w="1769"/>
        <w:gridCol w:w="1769"/>
        <w:gridCol w:w="1769"/>
      </w:tblGrid>
      <w:tr>
        <w:tc>
          <w:tcPr>
            <w:tcW w:type="dxa" w:w="2381"/>
          </w:tcPr>
          <w:p>
            <w:pPr>
              <w:spacing w:lineRule="exact" w:line="600"/>
              <w:jc w:val="center"/>
            </w:pPr>
            <w:r/>
            <w:r>
              <w:rPr>
                <w:rFonts w:ascii="黑体" w:hAnsi="黑体" w:eastAsia="黑体"/>
                <w:b/>
                <w:color w:val="000000"/>
                <w:sz w:val="32"/>
              </w:rPr>
              <w:t>项目</w:t>
            </w:r>
          </w:p>
        </w:tc>
        <w:tc>
          <w:tcPr>
            <w:tcW w:type="dxa" w:w="1531"/>
          </w:tcPr>
          <w:p>
            <w:pPr>
              <w:spacing w:lineRule="exact" w:line="600"/>
              <w:jc w:val="center"/>
            </w:pPr>
            <w:r/>
            <w:r>
              <w:rPr>
                <w:rFonts w:ascii="黑体" w:hAnsi="黑体" w:eastAsia="黑体"/>
                <w:b/>
                <w:color w:val="000000"/>
                <w:sz w:val="32"/>
              </w:rPr>
              <w:t>2025年</w:t>
            </w:r>
          </w:p>
        </w:tc>
        <w:tc>
          <w:tcPr>
            <w:tcW w:type="dxa" w:w="1531"/>
          </w:tcPr>
          <w:p>
            <w:pPr>
              <w:spacing w:lineRule="exact" w:line="600"/>
              <w:jc w:val="center"/>
            </w:pPr>
            <w:r/>
            <w:r>
              <w:rPr>
                <w:rFonts w:ascii="黑体" w:hAnsi="黑体" w:eastAsia="黑体"/>
                <w:b/>
                <w:color w:val="000000"/>
                <w:sz w:val="32"/>
              </w:rPr>
              <w:t>2024年</w:t>
            </w:r>
          </w:p>
        </w:tc>
        <w:tc>
          <w:tcPr>
            <w:tcW w:type="dxa" w:w="1531"/>
          </w:tcPr>
          <w:p>
            <w:pPr>
              <w:spacing w:lineRule="exact" w:line="600"/>
              <w:jc w:val="center"/>
            </w:pPr>
            <w:r/>
            <w:r>
              <w:rPr>
                <w:rFonts w:ascii="黑体" w:hAnsi="黑体" w:eastAsia="黑体"/>
                <w:b/>
                <w:color w:val="000000"/>
                <w:sz w:val="32"/>
              </w:rPr>
              <w:t>2023年</w:t>
            </w:r>
          </w:p>
        </w:tc>
        <w:tc>
          <w:tcPr>
            <w:tcW w:type="dxa" w:w="1531"/>
          </w:tcPr>
          <w:p>
            <w:pPr>
              <w:spacing w:lineRule="exact" w:line="600"/>
              <w:jc w:val="center"/>
            </w:pPr>
            <w:r/>
            <w:r>
              <w:rPr>
                <w:rFonts w:ascii="黑体" w:hAnsi="黑体" w:eastAsia="黑体"/>
                <w:b/>
                <w:color w:val="000000"/>
                <w:sz w:val="32"/>
              </w:rPr>
              <w:t>2022年</w:t>
            </w:r>
          </w:p>
        </w:tc>
      </w:tr>
      <w:tr>
        <w:tc>
          <w:tcPr>
            <w:tcW w:type="dxa" w:w="2381"/>
          </w:tcPr>
          <w:p>
            <w:pPr>
              <w:spacing w:lineRule="exact" w:line="600"/>
              <w:jc w:val="center"/>
            </w:pPr>
            <w:r/>
            <w:r>
              <w:rPr>
                <w:rFonts w:ascii="仿宋_GB2312" w:hAnsi="仿宋_GB2312" w:eastAsia="仿宋_GB2312"/>
                <w:b w:val="0"/>
                <w:color w:val="000000"/>
                <w:sz w:val="32"/>
              </w:rPr>
              <w:t>营业总收入</w:t>
            </w:r>
          </w:p>
        </w:tc>
        <w:tc>
          <w:tcPr>
            <w:tcW w:type="dxa" w:w="1531"/>
          </w:tcPr>
          <w:p>
            <w:pPr>
              <w:spacing w:lineRule="exact" w:line="600"/>
              <w:jc w:val="center"/>
            </w:pPr>
            <w:r/>
            <w:r>
              <w:rPr>
                <w:rFonts w:ascii="仿宋_GB2312" w:hAnsi="仿宋_GB2312" w:eastAsia="仿宋_GB2312"/>
                <w:b w:val="0"/>
                <w:color w:val="000000"/>
                <w:sz w:val="32"/>
              </w:rPr>
              <w:t>97.36</w:t>
            </w:r>
          </w:p>
        </w:tc>
        <w:tc>
          <w:tcPr>
            <w:tcW w:type="dxa" w:w="1531"/>
          </w:tcPr>
          <w:p>
            <w:pPr>
              <w:spacing w:lineRule="exact" w:line="600"/>
              <w:jc w:val="center"/>
            </w:pPr>
            <w:r/>
            <w:r>
              <w:rPr>
                <w:rFonts w:ascii="仿宋_GB2312" w:hAnsi="仿宋_GB2312" w:eastAsia="仿宋_GB2312"/>
                <w:b w:val="0"/>
                <w:color w:val="000000"/>
                <w:sz w:val="32"/>
              </w:rPr>
              <w:t>100.21</w:t>
            </w:r>
          </w:p>
        </w:tc>
        <w:tc>
          <w:tcPr>
            <w:tcW w:type="dxa" w:w="1531"/>
          </w:tcPr>
          <w:p>
            <w:pPr>
              <w:spacing w:lineRule="exact" w:line="600"/>
              <w:jc w:val="center"/>
            </w:pPr>
            <w:r/>
            <w:r>
              <w:rPr>
                <w:rFonts w:ascii="仿宋_GB2312" w:hAnsi="仿宋_GB2312" w:eastAsia="仿宋_GB2312"/>
                <w:b w:val="0"/>
                <w:color w:val="000000"/>
                <w:sz w:val="32"/>
              </w:rPr>
              <w:t>100.12</w:t>
            </w:r>
          </w:p>
        </w:tc>
        <w:tc>
          <w:tcPr>
            <w:tcW w:type="dxa" w:w="1531"/>
          </w:tcPr>
          <w:p>
            <w:pPr>
              <w:spacing w:lineRule="exact" w:line="600"/>
              <w:jc w:val="center"/>
            </w:pPr>
            <w:r/>
            <w:r>
              <w:rPr>
                <w:rFonts w:ascii="仿宋_GB2312" w:hAnsi="仿宋_GB2312" w:eastAsia="仿宋_GB2312"/>
                <w:b w:val="0"/>
                <w:color w:val="000000"/>
                <w:sz w:val="32"/>
              </w:rPr>
              <w:t>92.82</w:t>
            </w:r>
          </w:p>
        </w:tc>
      </w:tr>
      <w:tr>
        <w:tc>
          <w:tcPr>
            <w:tcW w:type="dxa" w:w="2381"/>
          </w:tcPr>
          <w:p>
            <w:pPr>
              <w:spacing w:lineRule="exact" w:line="600"/>
              <w:jc w:val="center"/>
            </w:pPr>
            <w:r/>
            <w:r>
              <w:rPr>
                <w:rFonts w:ascii="仿宋_GB2312" w:hAnsi="仿宋_GB2312" w:eastAsia="仿宋_GB2312"/>
                <w:b w:val="0"/>
                <w:color w:val="000000"/>
                <w:sz w:val="32"/>
              </w:rPr>
              <w:t>归母净利润</w:t>
            </w:r>
          </w:p>
        </w:tc>
        <w:tc>
          <w:tcPr>
            <w:tcW w:type="dxa" w:w="1531"/>
          </w:tcPr>
          <w:p>
            <w:pPr>
              <w:spacing w:lineRule="exact" w:line="600"/>
              <w:jc w:val="center"/>
            </w:pPr>
            <w:r/>
            <w:r>
              <w:rPr>
                <w:rFonts w:ascii="仿宋_GB2312" w:hAnsi="仿宋_GB2312" w:eastAsia="仿宋_GB2312"/>
                <w:b w:val="0"/>
                <w:color w:val="000000"/>
                <w:sz w:val="32"/>
              </w:rPr>
              <w:t>5.26</w:t>
            </w:r>
          </w:p>
        </w:tc>
        <w:tc>
          <w:tcPr>
            <w:tcW w:type="dxa" w:w="1531"/>
          </w:tcPr>
          <w:p>
            <w:pPr>
              <w:spacing w:lineRule="exact" w:line="600"/>
              <w:jc w:val="center"/>
            </w:pPr>
            <w:r/>
            <w:r>
              <w:rPr>
                <w:rFonts w:ascii="仿宋_GB2312" w:hAnsi="仿宋_GB2312" w:eastAsia="仿宋_GB2312"/>
                <w:b w:val="0"/>
                <w:color w:val="000000"/>
                <w:sz w:val="32"/>
              </w:rPr>
              <w:t>6.92</w:t>
            </w:r>
          </w:p>
        </w:tc>
        <w:tc>
          <w:tcPr>
            <w:tcW w:type="dxa" w:w="1531"/>
          </w:tcPr>
          <w:p>
            <w:pPr>
              <w:spacing w:lineRule="exact" w:line="600"/>
              <w:jc w:val="center"/>
            </w:pPr>
            <w:r/>
            <w:r>
              <w:rPr>
                <w:rFonts w:ascii="仿宋_GB2312" w:hAnsi="仿宋_GB2312" w:eastAsia="仿宋_GB2312"/>
                <w:b w:val="0"/>
                <w:color w:val="000000"/>
                <w:sz w:val="32"/>
              </w:rPr>
              <w:t>6.54</w:t>
            </w:r>
          </w:p>
        </w:tc>
        <w:tc>
          <w:tcPr>
            <w:tcW w:type="dxa" w:w="1531"/>
          </w:tcPr>
          <w:p>
            <w:pPr>
              <w:spacing w:lineRule="exact" w:line="600"/>
              <w:jc w:val="center"/>
            </w:pPr>
            <w:r/>
            <w:r>
              <w:rPr>
                <w:rFonts w:ascii="仿宋_GB2312" w:hAnsi="仿宋_GB2312" w:eastAsia="仿宋_GB2312"/>
                <w:b w:val="0"/>
                <w:color w:val="000000"/>
                <w:sz w:val="32"/>
              </w:rPr>
              <w:t>5.00</w:t>
            </w:r>
          </w:p>
        </w:tc>
      </w:tr>
      <w:tr>
        <w:tc>
          <w:tcPr>
            <w:tcW w:type="dxa" w:w="2381"/>
          </w:tcPr>
          <w:p>
            <w:pPr>
              <w:spacing w:lineRule="exact" w:line="600"/>
              <w:jc w:val="center"/>
            </w:pPr>
            <w:r/>
            <w:r>
              <w:rPr>
                <w:rFonts w:ascii="仿宋_GB2312" w:hAnsi="仿宋_GB2312" w:eastAsia="仿宋_GB2312"/>
                <w:b w:val="0"/>
                <w:color w:val="000000"/>
                <w:sz w:val="32"/>
              </w:rPr>
              <w:t>扣非归母净利润</w:t>
            </w:r>
          </w:p>
        </w:tc>
        <w:tc>
          <w:tcPr>
            <w:tcW w:type="dxa" w:w="1531"/>
          </w:tcPr>
          <w:p>
            <w:pPr>
              <w:spacing w:lineRule="exact" w:line="600"/>
              <w:jc w:val="center"/>
            </w:pPr>
            <w:r/>
            <w:r>
              <w:rPr>
                <w:rFonts w:ascii="仿宋_GB2312" w:hAnsi="仿宋_GB2312" w:eastAsia="仿宋_GB2312"/>
                <w:b w:val="0"/>
                <w:color w:val="000000"/>
                <w:sz w:val="32"/>
              </w:rPr>
              <w:t>4.57</w:t>
            </w:r>
          </w:p>
        </w:tc>
        <w:tc>
          <w:tcPr>
            <w:tcW w:type="dxa" w:w="1531"/>
          </w:tcPr>
          <w:p>
            <w:pPr>
              <w:spacing w:lineRule="exact" w:line="600"/>
              <w:jc w:val="center"/>
            </w:pPr>
            <w:r/>
            <w:r>
              <w:rPr>
                <w:rFonts w:ascii="仿宋_GB2312" w:hAnsi="仿宋_GB2312" w:eastAsia="仿宋_GB2312"/>
                <w:b w:val="0"/>
                <w:color w:val="000000"/>
                <w:sz w:val="32"/>
              </w:rPr>
              <w:t>6.23</w:t>
            </w:r>
          </w:p>
        </w:tc>
        <w:tc>
          <w:tcPr>
            <w:tcW w:type="dxa" w:w="1531"/>
          </w:tcPr>
          <w:p>
            <w:pPr>
              <w:spacing w:lineRule="exact" w:line="600"/>
              <w:jc w:val="center"/>
            </w:pPr>
            <w:r/>
            <w:r>
              <w:rPr>
                <w:rFonts w:ascii="仿宋_GB2312" w:hAnsi="仿宋_GB2312" w:eastAsia="仿宋_GB2312"/>
                <w:b w:val="0"/>
                <w:color w:val="000000"/>
                <w:sz w:val="32"/>
              </w:rPr>
              <w:t>—</w:t>
            </w:r>
          </w:p>
        </w:tc>
        <w:tc>
          <w:tcPr>
            <w:tcW w:type="dxa" w:w="1531"/>
          </w:tcPr>
          <w:p>
            <w:pPr>
              <w:spacing w:lineRule="exact" w:line="600"/>
              <w:jc w:val="center"/>
            </w:pPr>
            <w:r/>
            <w:r>
              <w:rPr>
                <w:rFonts w:ascii="仿宋_GB2312" w:hAnsi="仿宋_GB2312" w:eastAsia="仿宋_GB2312"/>
                <w:b w:val="0"/>
                <w:color w:val="000000"/>
                <w:sz w:val="32"/>
              </w:rPr>
              <w:t>—</w:t>
            </w:r>
          </w:p>
        </w:tc>
      </w:tr>
      <w:tr>
        <w:tc>
          <w:tcPr>
            <w:tcW w:type="dxa" w:w="2381"/>
          </w:tcPr>
          <w:p>
            <w:pPr>
              <w:spacing w:lineRule="exact" w:line="600"/>
              <w:jc w:val="center"/>
            </w:pPr>
            <w:r/>
            <w:r>
              <w:rPr>
                <w:rFonts w:ascii="仿宋_GB2312" w:hAnsi="仿宋_GB2312" w:eastAsia="仿宋_GB2312"/>
                <w:b w:val="0"/>
                <w:color w:val="000000"/>
                <w:sz w:val="32"/>
              </w:rPr>
              <w:t>经营活动现金流量净额</w:t>
            </w:r>
          </w:p>
        </w:tc>
        <w:tc>
          <w:tcPr>
            <w:tcW w:type="dxa" w:w="1531"/>
          </w:tcPr>
          <w:p>
            <w:pPr>
              <w:spacing w:lineRule="exact" w:line="600"/>
              <w:jc w:val="center"/>
            </w:pPr>
            <w:r/>
            <w:r>
              <w:rPr>
                <w:rFonts w:ascii="仿宋_GB2312" w:hAnsi="仿宋_GB2312" w:eastAsia="仿宋_GB2312"/>
                <w:b w:val="0"/>
                <w:color w:val="000000"/>
                <w:sz w:val="32"/>
              </w:rPr>
              <w:t>7.01</w:t>
            </w:r>
          </w:p>
        </w:tc>
        <w:tc>
          <w:tcPr>
            <w:tcW w:type="dxa" w:w="1531"/>
          </w:tcPr>
          <w:p>
            <w:pPr>
              <w:spacing w:lineRule="exact" w:line="600"/>
              <w:jc w:val="center"/>
            </w:pPr>
            <w:r/>
            <w:r>
              <w:rPr>
                <w:rFonts w:ascii="仿宋_GB2312" w:hAnsi="仿宋_GB2312" w:eastAsia="仿宋_GB2312"/>
                <w:b w:val="0"/>
                <w:color w:val="000000"/>
                <w:sz w:val="32"/>
              </w:rPr>
              <w:t>4.51</w:t>
            </w:r>
          </w:p>
        </w:tc>
        <w:tc>
          <w:tcPr>
            <w:tcW w:type="dxa" w:w="1531"/>
          </w:tcPr>
          <w:p>
            <w:pPr>
              <w:spacing w:lineRule="exact" w:line="600"/>
              <w:jc w:val="center"/>
            </w:pPr>
            <w:r/>
            <w:r>
              <w:rPr>
                <w:rFonts w:ascii="仿宋_GB2312" w:hAnsi="仿宋_GB2312" w:eastAsia="仿宋_GB2312"/>
                <w:b w:val="0"/>
                <w:color w:val="000000"/>
                <w:sz w:val="32"/>
              </w:rPr>
              <w:t>—</w:t>
            </w:r>
          </w:p>
        </w:tc>
        <w:tc>
          <w:tcPr>
            <w:tcW w:type="dxa" w:w="1531"/>
          </w:tcPr>
          <w:p>
            <w:pPr>
              <w:spacing w:lineRule="exact" w:line="600"/>
              <w:jc w:val="center"/>
            </w:pPr>
            <w:r/>
            <w:r>
              <w:rPr>
                <w:rFonts w:ascii="仿宋_GB2312" w:hAnsi="仿宋_GB2312" w:eastAsia="仿宋_GB2312"/>
                <w:b w:val="0"/>
                <w:color w:val="000000"/>
                <w:sz w:val="32"/>
              </w:rPr>
              <w:t>—</w:t>
            </w:r>
          </w:p>
        </w:tc>
      </w:tr>
      <w:tr>
        <w:tc>
          <w:tcPr>
            <w:tcW w:type="dxa" w:w="2381"/>
          </w:tcPr>
          <w:p>
            <w:pPr>
              <w:spacing w:lineRule="exact" w:line="600"/>
              <w:jc w:val="center"/>
            </w:pPr>
            <w:r/>
            <w:r>
              <w:rPr>
                <w:rFonts w:ascii="仿宋_GB2312" w:hAnsi="仿宋_GB2312" w:eastAsia="仿宋_GB2312"/>
                <w:b w:val="0"/>
                <w:color w:val="000000"/>
                <w:sz w:val="32"/>
              </w:rPr>
              <w:t>总资产</w:t>
            </w:r>
          </w:p>
        </w:tc>
        <w:tc>
          <w:tcPr>
            <w:tcW w:type="dxa" w:w="1531"/>
          </w:tcPr>
          <w:p>
            <w:pPr>
              <w:spacing w:lineRule="exact" w:line="600"/>
              <w:jc w:val="center"/>
            </w:pPr>
            <w:r/>
            <w:r>
              <w:rPr>
                <w:rFonts w:ascii="仿宋_GB2312" w:hAnsi="仿宋_GB2312" w:eastAsia="仿宋_GB2312"/>
                <w:b w:val="0"/>
                <w:color w:val="000000"/>
                <w:sz w:val="32"/>
              </w:rPr>
              <w:t>148.20</w:t>
            </w:r>
          </w:p>
        </w:tc>
        <w:tc>
          <w:tcPr>
            <w:tcW w:type="dxa" w:w="1531"/>
          </w:tcPr>
          <w:p>
            <w:pPr>
              <w:spacing w:lineRule="exact" w:line="600"/>
              <w:jc w:val="center"/>
            </w:pPr>
            <w:r/>
            <w:r>
              <w:rPr>
                <w:rFonts w:ascii="仿宋_GB2312" w:hAnsi="仿宋_GB2312" w:eastAsia="仿宋_GB2312"/>
                <w:b w:val="0"/>
                <w:color w:val="000000"/>
                <w:sz w:val="32"/>
              </w:rPr>
              <w:t>—</w:t>
            </w:r>
          </w:p>
        </w:tc>
        <w:tc>
          <w:tcPr>
            <w:tcW w:type="dxa" w:w="1531"/>
          </w:tcPr>
          <w:p>
            <w:pPr>
              <w:spacing w:lineRule="exact" w:line="600"/>
              <w:jc w:val="center"/>
            </w:pPr>
            <w:r/>
            <w:r>
              <w:rPr>
                <w:rFonts w:ascii="仿宋_GB2312" w:hAnsi="仿宋_GB2312" w:eastAsia="仿宋_GB2312"/>
                <w:b w:val="0"/>
                <w:color w:val="000000"/>
                <w:sz w:val="32"/>
              </w:rPr>
              <w:t>—</w:t>
            </w:r>
          </w:p>
        </w:tc>
        <w:tc>
          <w:tcPr>
            <w:tcW w:type="dxa" w:w="1531"/>
          </w:tcPr>
          <w:p>
            <w:pPr>
              <w:spacing w:lineRule="exact" w:line="600"/>
              <w:jc w:val="center"/>
            </w:pPr>
            <w:r/>
            <w:r>
              <w:rPr>
                <w:rFonts w:ascii="仿宋_GB2312" w:hAnsi="仿宋_GB2312" w:eastAsia="仿宋_GB2312"/>
                <w:b w:val="0"/>
                <w:color w:val="000000"/>
                <w:sz w:val="32"/>
              </w:rPr>
              <w:t>—</w:t>
            </w:r>
          </w:p>
        </w:tc>
      </w:tr>
      <w:tr>
        <w:tc>
          <w:tcPr>
            <w:tcW w:type="dxa" w:w="2381"/>
          </w:tcPr>
          <w:p>
            <w:pPr>
              <w:spacing w:lineRule="exact" w:line="600"/>
              <w:jc w:val="center"/>
            </w:pPr>
            <w:r/>
            <w:r>
              <w:rPr>
                <w:rFonts w:ascii="仿宋_GB2312" w:hAnsi="仿宋_GB2312" w:eastAsia="仿宋_GB2312"/>
                <w:b w:val="0"/>
                <w:color w:val="000000"/>
                <w:sz w:val="32"/>
              </w:rPr>
              <w:t>总负债</w:t>
            </w:r>
          </w:p>
        </w:tc>
        <w:tc>
          <w:tcPr>
            <w:tcW w:type="dxa" w:w="1531"/>
          </w:tcPr>
          <w:p>
            <w:pPr>
              <w:spacing w:lineRule="exact" w:line="600"/>
              <w:jc w:val="center"/>
            </w:pPr>
            <w:r/>
            <w:r>
              <w:rPr>
                <w:rFonts w:ascii="仿宋_GB2312" w:hAnsi="仿宋_GB2312" w:eastAsia="仿宋_GB2312"/>
                <w:b w:val="0"/>
                <w:color w:val="000000"/>
                <w:sz w:val="32"/>
              </w:rPr>
              <w:t>68.62</w:t>
            </w:r>
          </w:p>
        </w:tc>
        <w:tc>
          <w:tcPr>
            <w:tcW w:type="dxa" w:w="1531"/>
          </w:tcPr>
          <w:p>
            <w:pPr>
              <w:spacing w:lineRule="exact" w:line="600"/>
              <w:jc w:val="center"/>
            </w:pPr>
            <w:r/>
            <w:r>
              <w:rPr>
                <w:rFonts w:ascii="仿宋_GB2312" w:hAnsi="仿宋_GB2312" w:eastAsia="仿宋_GB2312"/>
                <w:b w:val="0"/>
                <w:color w:val="000000"/>
                <w:sz w:val="32"/>
              </w:rPr>
              <w:t>—</w:t>
            </w:r>
          </w:p>
        </w:tc>
        <w:tc>
          <w:tcPr>
            <w:tcW w:type="dxa" w:w="1531"/>
          </w:tcPr>
          <w:p>
            <w:pPr>
              <w:spacing w:lineRule="exact" w:line="600"/>
              <w:jc w:val="center"/>
            </w:pPr>
            <w:r/>
            <w:r>
              <w:rPr>
                <w:rFonts w:ascii="仿宋_GB2312" w:hAnsi="仿宋_GB2312" w:eastAsia="仿宋_GB2312"/>
                <w:b w:val="0"/>
                <w:color w:val="000000"/>
                <w:sz w:val="32"/>
              </w:rPr>
              <w:t>—</w:t>
            </w:r>
          </w:p>
        </w:tc>
        <w:tc>
          <w:tcPr>
            <w:tcW w:type="dxa" w:w="1531"/>
          </w:tcPr>
          <w:p>
            <w:pPr>
              <w:spacing w:lineRule="exact" w:line="600"/>
              <w:jc w:val="center"/>
            </w:pPr>
            <w:r/>
            <w:r>
              <w:rPr>
                <w:rFonts w:ascii="仿宋_GB2312" w:hAnsi="仿宋_GB2312" w:eastAsia="仿宋_GB2312"/>
                <w:b w:val="0"/>
                <w:color w:val="000000"/>
                <w:sz w:val="32"/>
              </w:rPr>
              <w:t>—</w:t>
            </w:r>
          </w:p>
        </w:tc>
      </w:tr>
      <w:tr>
        <w:tc>
          <w:tcPr>
            <w:tcW w:type="dxa" w:w="2381"/>
          </w:tcPr>
          <w:p>
            <w:pPr>
              <w:spacing w:lineRule="exact" w:line="600"/>
              <w:jc w:val="center"/>
            </w:pPr>
            <w:r/>
            <w:r>
              <w:rPr>
                <w:rFonts w:ascii="仿宋_GB2312" w:hAnsi="仿宋_GB2312" w:eastAsia="仿宋_GB2312"/>
                <w:b w:val="0"/>
                <w:color w:val="000000"/>
                <w:sz w:val="32"/>
              </w:rPr>
              <w:t>每股收益(元)</w:t>
            </w:r>
          </w:p>
        </w:tc>
        <w:tc>
          <w:tcPr>
            <w:tcW w:type="dxa" w:w="1531"/>
          </w:tcPr>
          <w:p>
            <w:pPr>
              <w:spacing w:lineRule="exact" w:line="600"/>
              <w:jc w:val="center"/>
            </w:pPr>
            <w:r/>
            <w:r>
              <w:rPr>
                <w:rFonts w:ascii="仿宋_GB2312" w:hAnsi="仿宋_GB2312" w:eastAsia="仿宋_GB2312"/>
                <w:b w:val="0"/>
                <w:color w:val="000000"/>
                <w:sz w:val="32"/>
              </w:rPr>
              <w:t>0.87</w:t>
            </w:r>
          </w:p>
        </w:tc>
        <w:tc>
          <w:tcPr>
            <w:tcW w:type="dxa" w:w="1531"/>
          </w:tcPr>
          <w:p>
            <w:pPr>
              <w:spacing w:lineRule="exact" w:line="600"/>
              <w:jc w:val="center"/>
            </w:pPr>
            <w:r/>
            <w:r>
              <w:rPr>
                <w:rFonts w:ascii="仿宋_GB2312" w:hAnsi="仿宋_GB2312" w:eastAsia="仿宋_GB2312"/>
                <w:b w:val="0"/>
                <w:color w:val="000000"/>
                <w:sz w:val="32"/>
              </w:rPr>
              <w:t>1.14</w:t>
            </w:r>
          </w:p>
        </w:tc>
        <w:tc>
          <w:tcPr>
            <w:tcW w:type="dxa" w:w="1531"/>
          </w:tcPr>
          <w:p>
            <w:pPr>
              <w:spacing w:lineRule="exact" w:line="600"/>
              <w:jc w:val="center"/>
            </w:pPr>
            <w:r/>
            <w:r>
              <w:rPr>
                <w:rFonts w:ascii="仿宋_GB2312" w:hAnsi="仿宋_GB2312" w:eastAsia="仿宋_GB2312"/>
                <w:b w:val="0"/>
                <w:color w:val="000000"/>
                <w:sz w:val="32"/>
              </w:rPr>
              <w:t>1.10</w:t>
            </w:r>
          </w:p>
        </w:tc>
        <w:tc>
          <w:tcPr>
            <w:tcW w:type="dxa" w:w="1531"/>
          </w:tcPr>
          <w:p>
            <w:pPr>
              <w:spacing w:lineRule="exact" w:line="600"/>
              <w:jc w:val="center"/>
            </w:pPr>
            <w:r/>
            <w:r>
              <w:rPr>
                <w:rFonts w:ascii="仿宋_GB2312" w:hAnsi="仿宋_GB2312" w:eastAsia="仿宋_GB2312"/>
                <w:b w:val="0"/>
                <w:color w:val="000000"/>
                <w:sz w:val="32"/>
              </w:rPr>
              <w:t>1.23</w:t>
            </w:r>
          </w:p>
        </w:tc>
      </w:tr>
    </w:tbl>
    <w:p>
      <w:pPr>
        <w:spacing w:lineRule="exact" w:line="600" w:before="0" w:after="0"/>
        <w:jc w:val="left"/>
      </w:pPr>
      <w:r>
        <w:rPr>
          <w:rFonts w:ascii="仿宋_GB2312" w:hAnsi="仿宋_GB2312" w:eastAsia="仿宋_GB2312"/>
          <w:b w:val="0"/>
          <w:color w:val="000000"/>
          <w:sz w:val="28"/>
        </w:rPr>
        <w:t>注：表中"—"表示该项数据未在本报告采信的公开来源中明确披露，本报告不作推算填充。2024年经营活动现金流量净额4.51亿元系依据2025年同比增长55.44%及2025年绝对值倒推的近似值，仅供趋势参考。</w:t>
      </w:r>
    </w:p>
    <w:p>
      <w:pPr>
        <w:spacing w:lineRule="exact" w:line="600" w:before="0" w:after="0"/>
        <w:ind w:firstLine="420"/>
        <w:jc w:val="both"/>
      </w:pPr>
      <w:r>
        <w:rPr>
          <w:rFonts w:ascii="仿宋_GB2312" w:hAnsi="仿宋_GB2312" w:eastAsia="仿宋_GB2312"/>
          <w:b w:val="0"/>
          <w:color w:val="000000"/>
          <w:sz w:val="32"/>
        </w:rPr>
        <w:t>2025年主要财务指标：基本每股收益0.87元；加权平均净资产收益率6.89%；销售毛利率25.15%；销售净利率5.42%；资产负债率46.31%；每股净资产12.70元；每股未分配利润6.78元；每股经营活动现金流量净额1.15元；每股股利0.35元。公司2025年度利润分配预案为向全体股东每10股派现1元（含税）。</w:t>
      </w:r>
    </w:p>
    <w:p>
      <w:pPr>
        <w:spacing w:lineRule="exact" w:line="600" w:before="120" w:after="120"/>
        <w:ind w:firstLine="420"/>
        <w:jc w:val="left"/>
      </w:pPr>
      <w:r>
        <w:rPr>
          <w:rFonts w:ascii="楷体_GB2312" w:hAnsi="楷体_GB2312" w:eastAsia="楷体_GB2312"/>
          <w:b w:val="0"/>
          <w:color w:val="000000"/>
          <w:sz w:val="32"/>
        </w:rPr>
        <w:t>（二）盈利分析</w:t>
      </w:r>
    </w:p>
    <w:p>
      <w:pPr>
        <w:spacing w:lineRule="exact" w:line="600" w:before="0" w:after="0"/>
        <w:ind w:firstLine="420"/>
        <w:jc w:val="both"/>
      </w:pPr>
      <w:r>
        <w:rPr>
          <w:rFonts w:ascii="仿宋_GB2312" w:hAnsi="仿宋_GB2312" w:eastAsia="仿宋_GB2312"/>
          <w:b w:val="0"/>
          <w:color w:val="000000"/>
          <w:sz w:val="32"/>
        </w:rPr>
        <w:t>2025年公司营业总收入97.36亿元，同比下降2.84%，较2024年减少2.85亿元，连续两年守住的百亿营收门槛被跌破。归母净利润5.26亿元，同比下降23.90%，减少1.65亿元；扣非净利润4.57亿元，同比缩水26.66%。扣非净利润降幅大于归母净利润降幅，表明主营业务盈利能力的下滑比表观数据更为严重。</w:t>
      </w:r>
    </w:p>
    <w:p>
      <w:pPr>
        <w:spacing w:lineRule="exact" w:line="600" w:before="0" w:after="0"/>
        <w:ind w:firstLine="420"/>
        <w:jc w:val="both"/>
      </w:pPr>
      <w:r>
        <w:rPr>
          <w:rFonts w:ascii="仿宋_GB2312" w:hAnsi="仿宋_GB2312" w:eastAsia="仿宋_GB2312"/>
          <w:b w:val="0"/>
          <w:color w:val="000000"/>
          <w:sz w:val="32"/>
        </w:rPr>
        <w:t>毛利率方面，2025年为25.15%，较上年同期下降0.91个百分点。分板块看，四大产品毛利率均出现下降，其中制药装备产品毛利率减少3.30个百分点，降幅最大。毛利率的普遍性下滑说明压力来自行业整体而非个别业务。</w:t>
      </w:r>
    </w:p>
    <w:p>
      <w:pPr>
        <w:spacing w:lineRule="exact" w:line="600" w:before="0" w:after="0"/>
        <w:ind w:firstLine="420"/>
        <w:jc w:val="both"/>
      </w:pPr>
      <w:r>
        <w:rPr>
          <w:rFonts w:ascii="仿宋_GB2312" w:hAnsi="仿宋_GB2312" w:eastAsia="仿宋_GB2312"/>
          <w:b w:val="0"/>
          <w:color w:val="000000"/>
          <w:sz w:val="32"/>
        </w:rPr>
        <w:t>费用端形成三重压力：一是销售费用8.94亿元、同比增长2.93%，主要系市场推广费增加；二是研发投入4.42亿元、同比增长1.36%，占比4.54%创五年新高，属于战略性投入但短期压制利润；三是财务费用大幅攀升44.02%至2,751万元，主要原因是利息收入锐减。在收入下降的同时三项费用齐升，是利润降幅远大于收入降幅的直接原因。</w:t>
      </w:r>
    </w:p>
    <w:p>
      <w:pPr>
        <w:spacing w:lineRule="exact" w:line="600" w:before="0" w:after="0"/>
        <w:ind w:firstLine="420"/>
        <w:jc w:val="both"/>
      </w:pPr>
      <w:r>
        <w:rPr>
          <w:rFonts w:ascii="仿宋_GB2312" w:hAnsi="仿宋_GB2312" w:eastAsia="仿宋_GB2312"/>
          <w:b w:val="0"/>
          <w:color w:val="000000"/>
          <w:sz w:val="32"/>
        </w:rPr>
        <w:t>回报指标方面，2025年加权平均净资产收益率6.89%，较上年同期下降2.40个百分点（另有口径为下降2.21个百分点）；投入资本回报率6.01%，较上年同期下降1.91个百分点。摊薄每股收益0.87元，同比下降23.68%。</w:t>
      </w:r>
    </w:p>
    <w:p>
      <w:pPr>
        <w:spacing w:lineRule="exact" w:line="600" w:before="120" w:after="120"/>
        <w:ind w:firstLine="420"/>
        <w:jc w:val="left"/>
      </w:pPr>
      <w:r>
        <w:rPr>
          <w:rFonts w:ascii="楷体_GB2312" w:hAnsi="楷体_GB2312" w:eastAsia="楷体_GB2312"/>
          <w:b w:val="0"/>
          <w:color w:val="000000"/>
          <w:sz w:val="32"/>
        </w:rPr>
        <w:t>（三）资产质量</w:t>
      </w:r>
    </w:p>
    <w:p>
      <w:pPr>
        <w:spacing w:lineRule="exact" w:line="600" w:before="0" w:after="0"/>
        <w:ind w:firstLine="420"/>
        <w:jc w:val="both"/>
      </w:pPr>
      <w:r>
        <w:rPr>
          <w:rFonts w:ascii="仿宋_GB2312" w:hAnsi="仿宋_GB2312" w:eastAsia="仿宋_GB2312"/>
          <w:b w:val="0"/>
          <w:color w:val="000000"/>
          <w:sz w:val="32"/>
        </w:rPr>
        <w:t>截至2025年末，公司总资产148.20亿元，负债合计68.62亿元，净资产约79.57亿元，每股净资产12.70元。</w:t>
      </w:r>
    </w:p>
    <w:p>
      <w:pPr>
        <w:spacing w:lineRule="exact" w:line="600" w:before="0" w:after="0"/>
        <w:ind w:firstLine="420"/>
        <w:jc w:val="both"/>
      </w:pPr>
      <w:r>
        <w:rPr>
          <w:rFonts w:ascii="仿宋_GB2312" w:hAnsi="仿宋_GB2312" w:eastAsia="仿宋_GB2312"/>
          <w:b w:val="0"/>
          <w:color w:val="000000"/>
          <w:sz w:val="32"/>
        </w:rPr>
        <w:t>资产结构的重大变化值得关注：固定资产较上年末增加19.24%，占总资产比重上升4.29个百分点；在建工程合计较上年末减少95.49%，占比下降2.86个百分点——两者合计表明前期在建项目大规模转固；存货较上年末减少13.50%，占比下降2.03个百分点，库存管理成效显现；货币资金较上年末增加5.10%，占比上升1.92个百分点，现金储备增强。</w:t>
      </w:r>
    </w:p>
    <w:p>
      <w:pPr>
        <w:spacing w:lineRule="exact" w:line="600" w:before="0" w:after="0"/>
        <w:ind w:firstLine="420"/>
        <w:jc w:val="both"/>
      </w:pPr>
      <w:r>
        <w:rPr>
          <w:rFonts w:ascii="仿宋_GB2312" w:hAnsi="仿宋_GB2312" w:eastAsia="仿宋_GB2312"/>
          <w:b w:val="0"/>
          <w:color w:val="000000"/>
          <w:sz w:val="32"/>
        </w:rPr>
        <w:t>存货方面，截至2025年末公司存货账面价值29.03亿元，占净资产的38.03%，较上年末减少4.53亿元。其中存货跌价准备1.65亿元，计提比例5.39%。存货占净资产接近四成，绝对规模较大，但同比减少4.53亿元显示公司正在主动去库存，方向正确。</w:t>
      </w:r>
    </w:p>
    <w:p>
      <w:pPr>
        <w:spacing w:lineRule="exact" w:line="600" w:before="0" w:after="0"/>
        <w:ind w:firstLine="420"/>
        <w:jc w:val="both"/>
      </w:pPr>
      <w:r>
        <w:rPr>
          <w:rFonts w:ascii="仿宋_GB2312" w:hAnsi="仿宋_GB2312" w:eastAsia="仿宋_GB2312"/>
          <w:b w:val="0"/>
          <w:color w:val="000000"/>
          <w:sz w:val="32"/>
        </w:rPr>
        <w:t>应收账款是资产质量的主要隐忧。截至2025年末应收账款19.12亿元，占营业收入之比升至19.64%，且已连续多年走高。应收账款周转率5.14次，对应周转天数约70天。在医疗行业回款周期普遍拉长的背景下，应收账款的账龄结构与坏账计提充分性需要持续跟踪。</w:t>
      </w:r>
    </w:p>
    <w:p>
      <w:pPr>
        <w:spacing w:lineRule="exact" w:line="600" w:before="120" w:after="120"/>
        <w:ind w:firstLine="420"/>
        <w:jc w:val="left"/>
      </w:pPr>
      <w:r>
        <w:rPr>
          <w:rFonts w:ascii="楷体_GB2312" w:hAnsi="楷体_GB2312" w:eastAsia="楷体_GB2312"/>
          <w:b w:val="0"/>
          <w:color w:val="000000"/>
          <w:sz w:val="32"/>
        </w:rPr>
        <w:t>（四）负债与偿债能力</w:t>
      </w:r>
    </w:p>
    <w:p>
      <w:pPr>
        <w:spacing w:lineRule="exact" w:line="600" w:before="0" w:after="0"/>
        <w:ind w:firstLine="420"/>
        <w:jc w:val="both"/>
      </w:pPr>
      <w:r>
        <w:rPr>
          <w:rFonts w:ascii="仿宋_GB2312" w:hAnsi="仿宋_GB2312" w:eastAsia="仿宋_GB2312"/>
          <w:b w:val="0"/>
          <w:color w:val="000000"/>
          <w:sz w:val="32"/>
        </w:rPr>
        <w:t>截至2025年末，公司资产负债率46.31%，较上年同期下降2.28个百分点，杠杆水平温和下行。但在已披露的同业公司中排名第130，说明相对于医疗器械行业普遍较低的负债水平，公司杠杆偏高。产权比率0.86。</w:t>
      </w:r>
    </w:p>
    <w:p>
      <w:pPr>
        <w:spacing w:lineRule="exact" w:line="600" w:before="0" w:after="0"/>
        <w:ind w:firstLine="420"/>
        <w:jc w:val="both"/>
      </w:pPr>
      <w:r>
        <w:rPr>
          <w:rFonts w:ascii="仿宋_GB2312" w:hAnsi="仿宋_GB2312" w:eastAsia="仿宋_GB2312"/>
          <w:b w:val="0"/>
          <w:color w:val="000000"/>
          <w:sz w:val="32"/>
        </w:rPr>
        <w:t>流动性方面，2025年末流动比率1.36，速动比率0.91，现金比率50.00%。流动比率大于1.3、速动比率接近1，短期偿债能力基本有保障。考虑到存货高达29.03亿元且占净资产38.03%，速动比率0.91意味着若剔除存货，流动资产对流动负债的覆盖略显不足，对存货变现能力有一定依赖。</w:t>
      </w:r>
    </w:p>
    <w:p>
      <w:pPr>
        <w:spacing w:lineRule="exact" w:line="600" w:before="0" w:after="0"/>
        <w:ind w:firstLine="420"/>
        <w:jc w:val="both"/>
      </w:pPr>
      <w:r>
        <w:rPr>
          <w:rFonts w:ascii="仿宋_GB2312" w:hAnsi="仿宋_GB2312" w:eastAsia="仿宋_GB2312"/>
          <w:b w:val="0"/>
          <w:color w:val="000000"/>
          <w:sz w:val="32"/>
        </w:rPr>
        <w:t>债务结构方面，2025年末有息负债11.85亿元，有息负债率（有息负债/总负债）17.27%，有息负债占总资产比例约8.0%。有息负债规模相对总资产而言不高，大部分负债为经营性负债（应付账款、合同负债等）。2025年短期借款较上年末增加2.72%，合同负债较上年末减少19.52%（占总资产比重下降2.07个百分点），应付票据及应付账款较上年末减少8.08%。合同负债的大幅下降值得警惕，它通常是预收款的体现，其减少可能预示在手订单或客户预付意愿的下降。</w:t>
      </w:r>
    </w:p>
    <w:p>
      <w:pPr>
        <w:spacing w:lineRule="exact" w:line="600" w:before="120" w:after="120"/>
        <w:ind w:firstLine="420"/>
        <w:jc w:val="left"/>
      </w:pPr>
      <w:r>
        <w:rPr>
          <w:rFonts w:ascii="楷体_GB2312" w:hAnsi="楷体_GB2312" w:eastAsia="楷体_GB2312"/>
          <w:b w:val="0"/>
          <w:color w:val="000000"/>
          <w:sz w:val="32"/>
        </w:rPr>
        <w:t>（五）现金流分析</w:t>
      </w:r>
    </w:p>
    <w:p>
      <w:pPr>
        <w:spacing w:lineRule="exact" w:line="600" w:before="0" w:after="0"/>
        <w:ind w:firstLine="420"/>
        <w:jc w:val="both"/>
      </w:pPr>
      <w:r>
        <w:rPr>
          <w:rFonts w:ascii="仿宋_GB2312" w:hAnsi="仿宋_GB2312" w:eastAsia="仿宋_GB2312"/>
          <w:b w:val="0"/>
          <w:color w:val="000000"/>
          <w:sz w:val="32"/>
        </w:rPr>
        <w:t>现金流是2025年公司财务表现中最亮眼的部分。经营活动现金流净额7.01亿元，同比增长55.44%，增加2.50亿元。在净利润下降23.90%的同时经营现金流大幅增长，净利润现金含量高达132.66%，销售现金比率7.20%，每股经营活动现金流1.15元，自由现金流3.55亿元。这说明公司的"造血"能力优于账面利润的表现。</w:t>
      </w:r>
    </w:p>
    <w:p>
      <w:pPr>
        <w:spacing w:lineRule="exact" w:line="600" w:before="0" w:after="0"/>
        <w:ind w:firstLine="420"/>
        <w:jc w:val="both"/>
      </w:pPr>
      <w:r>
        <w:rPr>
          <w:rFonts w:ascii="仿宋_GB2312" w:hAnsi="仿宋_GB2312" w:eastAsia="仿宋_GB2312"/>
          <w:b w:val="0"/>
          <w:color w:val="000000"/>
          <w:sz w:val="32"/>
        </w:rPr>
        <w:t>经营现金流改善的主要驱动因素是营运资金的释放：存货减少4.53亿元、去库存成效显著，同时存货周转率提升8.61%至2.33次。这印证了公司在营运资本管理上的实质性改进。</w:t>
      </w:r>
    </w:p>
    <w:p>
      <w:pPr>
        <w:spacing w:lineRule="exact" w:line="600" w:before="0" w:after="0"/>
        <w:ind w:firstLine="420"/>
        <w:jc w:val="both"/>
      </w:pPr>
      <w:r>
        <w:rPr>
          <w:rFonts w:ascii="仿宋_GB2312" w:hAnsi="仿宋_GB2312" w:eastAsia="仿宋_GB2312"/>
          <w:b w:val="0"/>
          <w:color w:val="000000"/>
          <w:sz w:val="32"/>
        </w:rPr>
        <w:t>投融资现金流方面，2025年投资活动现金流净额-1.83亿元，上年同期为-3.19亿元，资本开支明显收缩（与在建工程大规模转固、新一轮投资周期尚未启动相印证）；筹资活动现金流净额-3.20亿元，同比增加8,681.17万元，主要为偿债与分红支出。整体呈现"经营净流入7.01亿元覆盖投资净流出1.83亿元与筹资净流出3.20亿元"的健康形态，当年现金净增加。</w:t>
      </w:r>
    </w:p>
    <w:p>
      <w:pPr>
        <w:spacing w:lineRule="exact" w:line="600" w:before="120" w:after="120"/>
        <w:ind w:firstLine="420"/>
        <w:jc w:val="left"/>
      </w:pPr>
      <w:r>
        <w:rPr>
          <w:rFonts w:ascii="楷体_GB2312" w:hAnsi="楷体_GB2312" w:eastAsia="楷体_GB2312"/>
          <w:b w:val="0"/>
          <w:color w:val="000000"/>
          <w:sz w:val="32"/>
        </w:rPr>
        <w:t>（六）关键指标横向对标</w:t>
      </w:r>
    </w:p>
    <w:p>
      <w:pPr>
        <w:spacing w:lineRule="exact" w:line="600" w:before="0" w:after="0"/>
        <w:ind w:firstLine="420"/>
        <w:jc w:val="both"/>
      </w:pPr>
      <w:r>
        <w:rPr>
          <w:rFonts w:ascii="仿宋_GB2312" w:hAnsi="仿宋_GB2312" w:eastAsia="仿宋_GB2312"/>
          <w:b w:val="0"/>
          <w:color w:val="000000"/>
          <w:sz w:val="32"/>
        </w:rPr>
        <w:t>在医疗器械同业中，公司的画像是"规模第4、利润第16、周转第10、毛利第123、负债率第130"。这组排名清晰地揭示了公司的核心矛盾：体量与运营效率处于行业前列，但盈利质量与资本结构处于行业后列。</w:t>
      </w:r>
    </w:p>
    <w:p>
      <w:pPr>
        <w:spacing w:lineRule="exact" w:line="600" w:before="0" w:after="0"/>
        <w:ind w:firstLine="420"/>
        <w:jc w:val="both"/>
      </w:pPr>
      <w:r>
        <w:rPr>
          <w:rFonts w:ascii="仿宋_GB2312" w:hAnsi="仿宋_GB2312" w:eastAsia="仿宋_GB2312"/>
          <w:b w:val="0"/>
          <w:color w:val="000000"/>
          <w:sz w:val="32"/>
        </w:rPr>
        <w:t>造成毛利率排名靠后的结构性原因是医疗商贸业务占比高达29.90%——流通业务本身毛利率低，大幅稀释了制造业务的毛利表现。若剔除商贸板块，公司制造业务的实际毛利水平应显著高于25.15%。这提示在评价公司盈利能力时，应区分"制造"与"流通"两种业务属性。</w:t>
      </w:r>
    </w:p>
    <w:p>
      <w:pPr>
        <w:spacing w:lineRule="exact" w:line="600" w:before="0" w:after="0"/>
        <w:ind w:firstLine="420"/>
        <w:jc w:val="both"/>
      </w:pPr>
      <w:r>
        <w:rPr>
          <w:rFonts w:ascii="仿宋_GB2312" w:hAnsi="仿宋_GB2312" w:eastAsia="仿宋_GB2312"/>
          <w:b w:val="0"/>
          <w:color w:val="000000"/>
          <w:sz w:val="32"/>
        </w:rPr>
        <w:t>与集群内其他企业相比：新华制药2025年毛利率18.78%、ROE 5.66%、资产负债率40.61%；山东药玻毛利率33.31%、ROE 8.45%、资产负债率约17%。新华医疗的毛利率25.15%、ROE 6.89%、资产负债率46.31%，盈利能力居中，杠杆水平在三者中最高。</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省属国有控股上市公司，建立了股东大会、董事会、监事会与经理层相互制衡的法人治理结构。控股股东山东健康集团有限公司持股29.55%，与第二大股东山东省国有资产投资控股有限公司（4.15%）同属山东省国资委监管体系，形成稳定的国有控股格局。</w:t>
      </w:r>
    </w:p>
    <w:p>
      <w:pPr>
        <w:spacing w:lineRule="exact" w:line="600" w:before="0" w:after="0"/>
        <w:ind w:firstLine="420"/>
        <w:jc w:val="both"/>
      </w:pPr>
      <w:r>
        <w:rPr>
          <w:rFonts w:ascii="仿宋_GB2312" w:hAnsi="仿宋_GB2312" w:eastAsia="仿宋_GB2312"/>
          <w:b w:val="0"/>
          <w:color w:val="000000"/>
          <w:sz w:val="32"/>
        </w:rPr>
        <w:t>作为省属国企控股上市公司，公司严格执行"三重一大"决策制度：重大事项决策、重要干部任免、重大项目投资决策、大额资金使用必须经党委会前置研究讨论并由董事会等治理主体集体决定。党的建设要求已纳入公司章程，党组织在把方向、管大局、保落实中发挥领导作用。控股股东山东健康集团通过派出董事参与重大决策，并按照省国资委的经营业绩考核办法对上市公司实施考核。</w:t>
      </w:r>
    </w:p>
    <w:p>
      <w:pPr>
        <w:spacing w:lineRule="exact" w:line="600" w:before="0" w:after="0"/>
        <w:ind w:firstLine="420"/>
        <w:jc w:val="both"/>
      </w:pPr>
      <w:r>
        <w:rPr>
          <w:rFonts w:ascii="仿宋_GB2312" w:hAnsi="仿宋_GB2312" w:eastAsia="仿宋_GB2312"/>
          <w:b w:val="0"/>
          <w:color w:val="000000"/>
          <w:sz w:val="32"/>
        </w:rPr>
        <w:t>公司近年来最重要的治理成果是资产结构的优化。通过持续剥离亏损医院、处置低效股权，公司显著降低了多元化经营带来的管理复杂度与财务风险，这一过程被媒体评价为"国企瘦身健体的样本"，体现了国有股东在推动上市公司聚焦主业方面的治理效能。</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管理层长期贯彻"调结构、强主业、提效益、防风险"十二字方针，战略意图清晰、执行连贯。该方针在2023—2024年推动公司营收站上百亿并连年增长、归母净利润由6.54亿元升至6.92亿元，一度被视为战略成功的证明。</w:t>
      </w:r>
    </w:p>
    <w:p>
      <w:pPr>
        <w:spacing w:lineRule="exact" w:line="600" w:before="0" w:after="0"/>
        <w:ind w:firstLine="420"/>
        <w:jc w:val="both"/>
      </w:pPr>
      <w:r>
        <w:rPr>
          <w:rFonts w:ascii="仿宋_GB2312" w:hAnsi="仿宋_GB2312" w:eastAsia="仿宋_GB2312"/>
          <w:b w:val="0"/>
          <w:color w:val="000000"/>
          <w:sz w:val="32"/>
        </w:rPr>
        <w:t>2025年的业绩回落对管理层构成新的考验。当剥离低效资产的"减法"红利释放完毕后，如何在主业上做出"加法"，成为管理层必须回答的问题。2025年研发投入占比创五年新高（4.54%）、销售费用中市场推广费增加，表明管理层已在向内生增长方向发力，但成效尚待观察。</w:t>
      </w:r>
    </w:p>
    <w:p>
      <w:pPr>
        <w:spacing w:lineRule="exact" w:line="600" w:before="0" w:after="0"/>
        <w:ind w:firstLine="420"/>
        <w:jc w:val="both"/>
      </w:pPr>
      <w:r>
        <w:rPr>
          <w:rFonts w:ascii="仿宋_GB2312" w:hAnsi="仿宋_GB2312" w:eastAsia="仿宋_GB2312"/>
          <w:b w:val="0"/>
          <w:color w:val="000000"/>
          <w:sz w:val="32"/>
        </w:rPr>
        <w:t>公司管理层在信息披露方面较为规范，定期报告按时披露，2025年年报于2026年4月30日发布，2026年一季报同步披露。</w:t>
      </w:r>
    </w:p>
    <w:p>
      <w:pPr>
        <w:spacing w:lineRule="exact" w:line="600" w:before="120" w:after="120"/>
        <w:ind w:firstLine="420"/>
        <w:jc w:val="left"/>
      </w:pPr>
      <w:r>
        <w:rPr>
          <w:rFonts w:ascii="楷体_GB2312" w:hAnsi="楷体_GB2312" w:eastAsia="楷体_GB2312"/>
          <w:b w:val="0"/>
          <w:color w:val="000000"/>
          <w:sz w:val="32"/>
        </w:rPr>
        <w:t>（三）组织与内部控制</w:t>
      </w:r>
    </w:p>
    <w:p>
      <w:pPr>
        <w:spacing w:lineRule="exact" w:line="600" w:before="0" w:after="0"/>
        <w:ind w:firstLine="420"/>
        <w:jc w:val="both"/>
      </w:pPr>
      <w:r>
        <w:rPr>
          <w:rFonts w:ascii="仿宋_GB2312" w:hAnsi="仿宋_GB2312" w:eastAsia="仿宋_GB2312"/>
          <w:b w:val="0"/>
          <w:color w:val="000000"/>
          <w:sz w:val="32"/>
        </w:rPr>
        <w:t>公司业务横跨器械制造、装备制造、商贸流通、医疗服务四大形态，业务属性差异大、管理半径长，对集团化管控能力提出较高要求。公司通过母子公司管控体系实施分类管理，并在近年通过剥离非核心资产持续简化管理层级。</w:t>
      </w:r>
    </w:p>
    <w:p>
      <w:pPr>
        <w:spacing w:lineRule="exact" w:line="600" w:before="0" w:after="0"/>
        <w:ind w:firstLine="420"/>
        <w:jc w:val="both"/>
      </w:pPr>
      <w:r>
        <w:rPr>
          <w:rFonts w:ascii="仿宋_GB2312" w:hAnsi="仿宋_GB2312" w:eastAsia="仿宋_GB2312"/>
          <w:b w:val="0"/>
          <w:color w:val="000000"/>
          <w:sz w:val="32"/>
        </w:rPr>
        <w:t>内控重点领域包括：医疗器械的质量管理体系（须符合医疗器械生产质量管理规范）、医疗商贸业务的合规经营（两票制、医疗器械经营质量管理规范）、应收账款的信用管理、以及大额投资与资产处置的决策程序。其中，应收账款连续多年走高（2025年占营收19.64%）提示信用管理环节仍有加强空间。</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公司作为拥有近百亿营收的大型制造企业，员工队伍规模较大，涵盖研发、制造、销售、服务、商贸物流等多种职能类型。公司2025年研发总投入4.42亿元，在同业中排名第10，支撑着相当规模的研发技术团队。</w:t>
      </w:r>
    </w:p>
    <w:p>
      <w:pPr>
        <w:spacing w:lineRule="exact" w:line="600" w:before="0" w:after="0"/>
        <w:ind w:firstLine="420"/>
        <w:jc w:val="both"/>
      </w:pPr>
      <w:r>
        <w:rPr>
          <w:rFonts w:ascii="仿宋_GB2312" w:hAnsi="仿宋_GB2312" w:eastAsia="仿宋_GB2312"/>
          <w:b w:val="0"/>
          <w:color w:val="000000"/>
          <w:sz w:val="32"/>
        </w:rPr>
        <w:t>需说明的是，公司员工总数、学历结构、研发人员数量等人力资源明细数据未在本报告采信的公开来源中明确披露，本报告不作数量推测。</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品牌与历史积淀壁垒。公司是我国医疗器械行业的奠基型企业之一，"新华医疗"品牌在国内各级医疗机构中具有极高的认知度与信任度。在医疗器械这一高度重视安全性与可靠性的领域，品牌信任是最难以复制的资产。</w:t>
      </w:r>
    </w:p>
    <w:p>
      <w:pPr>
        <w:spacing w:lineRule="exact" w:line="600" w:before="0" w:after="0"/>
        <w:ind w:firstLine="420"/>
        <w:jc w:val="both"/>
      </w:pPr>
      <w:r>
        <w:rPr>
          <w:rFonts w:ascii="仿宋_GB2312" w:hAnsi="仿宋_GB2312" w:eastAsia="仿宋_GB2312"/>
          <w:b w:val="0"/>
          <w:color w:val="000000"/>
          <w:sz w:val="32"/>
        </w:rPr>
        <w:t>第二，注册证与资质壁垒。公司产品覆盖第二类、第三类医疗器械的多个品类，拥有大量医疗器械注册证与生产许可，并具备放射诊疗设备等特殊品类的资质。每一张注册证都需要经历漫长的注册检验、临床评价与审批流程，构成实质性的准入门槛。</w:t>
      </w:r>
    </w:p>
    <w:p>
      <w:pPr>
        <w:spacing w:lineRule="exact" w:line="600" w:before="0" w:after="0"/>
        <w:ind w:firstLine="420"/>
        <w:jc w:val="both"/>
      </w:pPr>
      <w:r>
        <w:rPr>
          <w:rFonts w:ascii="仿宋_GB2312" w:hAnsi="仿宋_GB2312" w:eastAsia="仿宋_GB2312"/>
          <w:b w:val="0"/>
          <w:color w:val="000000"/>
          <w:sz w:val="32"/>
        </w:rPr>
        <w:t>第三，规模与产业链完整性壁垒。2025年营业总收入97.36亿元在同业中排名第4，总资产周转率0.64次排名第10，规模优势与运营效率兼具。公司同时具备"器械制造＋装备制造＋商贸流通＋医疗服务"的全链条能力，能够为客户提供从设备到耗材、从单机到整体解决方案的综合服务。</w:t>
      </w:r>
    </w:p>
    <w:p>
      <w:pPr>
        <w:spacing w:lineRule="exact" w:line="600" w:before="0" w:after="0"/>
        <w:ind w:firstLine="420"/>
        <w:jc w:val="both"/>
      </w:pPr>
      <w:r>
        <w:rPr>
          <w:rFonts w:ascii="仿宋_GB2312" w:hAnsi="仿宋_GB2312" w:eastAsia="仿宋_GB2312"/>
          <w:b w:val="0"/>
          <w:color w:val="000000"/>
          <w:sz w:val="32"/>
        </w:rPr>
        <w:t>第四，制药装备的协同壁垒。制药装备业务使公司能够深度绑定制药企业客户，2025年该板块是唯一正增长板块。在淄博高新区药械集群内，公司的制药装备与新华制药的制剂生产形成直接的产业协同，这种"集群内配套"关系具有天然的地缘与信任优势。</w:t>
      </w:r>
    </w:p>
    <w:p>
      <w:pPr>
        <w:spacing w:lineRule="exact" w:line="600" w:before="0" w:after="0"/>
        <w:ind w:firstLine="420"/>
        <w:jc w:val="both"/>
      </w:pPr>
      <w:r>
        <w:rPr>
          <w:rFonts w:ascii="仿宋_GB2312" w:hAnsi="仿宋_GB2312" w:eastAsia="仿宋_GB2312"/>
          <w:b w:val="0"/>
          <w:color w:val="000000"/>
          <w:sz w:val="32"/>
        </w:rPr>
        <w:t>第五，国资背景与政策资源壁垒。省属国资控股为公司带来稳定的股权结构、较强的政府关系与在公共卫生体系采购中的天然信任度。在应急医疗物资保障、公立医院设备更新等政策性市场中，国资背景是重要的软性优势。</w:t>
      </w:r>
    </w:p>
    <w:p>
      <w:pPr>
        <w:spacing w:lineRule="exact" w:line="600" w:before="0" w:after="0"/>
        <w:ind w:firstLine="420"/>
        <w:jc w:val="both"/>
      </w:pPr>
      <w:r>
        <w:rPr>
          <w:rFonts w:ascii="仿宋_GB2312" w:hAnsi="仿宋_GB2312" w:eastAsia="仿宋_GB2312"/>
          <w:b w:val="0"/>
          <w:color w:val="000000"/>
          <w:sz w:val="32"/>
        </w:rPr>
        <w:t>客观而言，公司护城河的短板在于：毛利率排名同业第123位，说明其护城河更多体现为"规模＋品牌＋渠道"型，技术溢价能力不足；同时医疗商贸业务占比近三成，这部分业务几乎不具备护城河属性，仅贡献规模而不贡献超额利润。</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（一）行业与政策风险</w:t>
      </w:r>
    </w:p>
    <w:p>
      <w:pPr>
        <w:spacing w:lineRule="exact" w:line="600" w:before="0" w:after="0"/>
        <w:ind w:firstLine="420"/>
        <w:jc w:val="both"/>
      </w:pPr>
      <w:r>
        <w:rPr>
          <w:rFonts w:ascii="仿宋_GB2312" w:hAnsi="仿宋_GB2312" w:eastAsia="仿宋_GB2312"/>
          <w:b w:val="0"/>
          <w:color w:val="000000"/>
          <w:sz w:val="32"/>
        </w:rPr>
        <w:t>一是医疗器械集中带量采购风险。随着高值耗材与部分设备纳入集采范围，产品价格面临系统性下行压力。2025年公司四大板块毛利率全线下降，即是这一压力的直接体现。</w:t>
      </w:r>
    </w:p>
    <w:p>
      <w:pPr>
        <w:spacing w:lineRule="exact" w:line="600" w:before="0" w:after="0"/>
        <w:ind w:firstLine="420"/>
        <w:jc w:val="both"/>
      </w:pPr>
      <w:r>
        <w:rPr>
          <w:rFonts w:ascii="仿宋_GB2312" w:hAnsi="仿宋_GB2312" w:eastAsia="仿宋_GB2312"/>
          <w:b w:val="0"/>
          <w:color w:val="000000"/>
          <w:sz w:val="32"/>
        </w:rPr>
        <w:t>二是医药行业投资周期风险。制药装备需求与制药企业的固定资产投资高度相关。在医药行业整体投资趋于谨慎的背景下，装备需求增长空间受限，2025年该板块虽正增长但仅0.74%，增速微弱。</w:t>
      </w:r>
    </w:p>
    <w:p>
      <w:pPr>
        <w:spacing w:lineRule="exact" w:line="600" w:before="0" w:after="0"/>
        <w:ind w:firstLine="420"/>
        <w:jc w:val="both"/>
      </w:pPr>
      <w:r>
        <w:rPr>
          <w:rFonts w:ascii="仿宋_GB2312" w:hAnsi="仿宋_GB2312" w:eastAsia="仿宋_GB2312"/>
          <w:b w:val="0"/>
          <w:color w:val="000000"/>
          <w:sz w:val="32"/>
        </w:rPr>
        <w:t>三是医疗行业合规监管风险。医疗器械流通领域的合规要求日趋严格，公司近三成收入来自医疗商贸业务，面临较高的合规管理成本与政策变动风险。</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主业增长乏力风险。这是公司当前最核心的风险。2025年营收跌破百亿，医疗器械制造（-1.08%）与医疗商贸（-6.83%）双双走弱，而2026年一季度营收22.54亿元、同比下降2.32%，归母净利润同比下滑22.68%，尚未出现回暖迹象。若主业增长动能无法重建，业绩下行趋势可能延续。</w:t>
      </w:r>
    </w:p>
    <w:p>
      <w:pPr>
        <w:spacing w:lineRule="exact" w:line="600" w:before="0" w:after="0"/>
        <w:ind w:firstLine="420"/>
        <w:jc w:val="both"/>
      </w:pPr>
      <w:r>
        <w:rPr>
          <w:rFonts w:ascii="仿宋_GB2312" w:hAnsi="仿宋_GB2312" w:eastAsia="仿宋_GB2312"/>
          <w:b w:val="0"/>
          <w:color w:val="000000"/>
          <w:sz w:val="32"/>
        </w:rPr>
        <w:t>二是业务结构风险。医疗商贸业务占比29.90%但毛利率低，拉低整体盈利水平；医疗服务业务在剥离过程中持续萎缩（-18.70%）。业务组合的优化尚未完成。</w:t>
      </w:r>
    </w:p>
    <w:p>
      <w:pPr>
        <w:spacing w:lineRule="exact" w:line="600" w:before="0" w:after="0"/>
        <w:ind w:firstLine="420"/>
        <w:jc w:val="both"/>
      </w:pPr>
      <w:r>
        <w:rPr>
          <w:rFonts w:ascii="仿宋_GB2312" w:hAnsi="仿宋_GB2312" w:eastAsia="仿宋_GB2312"/>
          <w:b w:val="0"/>
          <w:color w:val="000000"/>
          <w:sz w:val="32"/>
        </w:rPr>
        <w:t>三是费用刚性风险。在收入下降的情况下，销售费用（+2.93%）、研发费用（+1.36%）、财务费用（+44.02%）三项齐升，形成显著的经营杠杆负效应。</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一是应收账款风险。截至2025年末应收账款19.12亿元，占营收比重19.64%且连续多年走高，应收账款周转率5.14次。医疗机构回款周期长是行业共性，但持续攀升的应收账款占比意味着营运资金压力累积与潜在坏账风险上升。</w:t>
      </w:r>
    </w:p>
    <w:p>
      <w:pPr>
        <w:spacing w:lineRule="exact" w:line="600" w:before="0" w:after="0"/>
        <w:ind w:firstLine="420"/>
        <w:jc w:val="both"/>
      </w:pPr>
      <w:r>
        <w:rPr>
          <w:rFonts w:ascii="仿宋_GB2312" w:hAnsi="仿宋_GB2312" w:eastAsia="仿宋_GB2312"/>
          <w:b w:val="0"/>
          <w:color w:val="000000"/>
          <w:sz w:val="32"/>
        </w:rPr>
        <w:t>二是存货风险。2025年末存货29.03亿元，占净资产38.03%，跌价准备1.65亿元、计提比例5.39%。虽同比减少4.53亿元，但绝对规模仍然较大，医疗器械技术迭代可能导致存货贬值。</w:t>
      </w:r>
    </w:p>
    <w:p>
      <w:pPr>
        <w:spacing w:lineRule="exact" w:line="600" w:before="0" w:after="0"/>
        <w:ind w:firstLine="420"/>
        <w:jc w:val="both"/>
      </w:pPr>
      <w:r>
        <w:rPr>
          <w:rFonts w:ascii="仿宋_GB2312" w:hAnsi="仿宋_GB2312" w:eastAsia="仿宋_GB2312"/>
          <w:b w:val="0"/>
          <w:color w:val="000000"/>
          <w:sz w:val="32"/>
        </w:rPr>
        <w:t>三是盈利持续下滑风险。归母净利润连续下滑（2024年6.92亿元→2025年5.26亿元→2026年一季度同比-22.68%），ROE由9.29%左右降至6.89%。若这一趋势延续，将影响公司的内生资本积累能力。</w:t>
      </w:r>
    </w:p>
    <w:p>
      <w:pPr>
        <w:spacing w:lineRule="exact" w:line="600" w:before="0" w:after="0"/>
        <w:ind w:firstLine="420"/>
        <w:jc w:val="both"/>
      </w:pPr>
      <w:r>
        <w:rPr>
          <w:rFonts w:ascii="仿宋_GB2312" w:hAnsi="仿宋_GB2312" w:eastAsia="仿宋_GB2312"/>
          <w:b w:val="0"/>
          <w:color w:val="000000"/>
          <w:sz w:val="32"/>
        </w:rPr>
        <w:t>四是合同负债下降的订单风险。2025年末合同负债较上年末减少19.52%，占总资产比重下降2.07个百分点。合同负债通常反映客户预付款与在手订单，其显著下降可能预示未来收入承压。</w:t>
      </w:r>
    </w:p>
    <w:p>
      <w:pPr>
        <w:spacing w:lineRule="exact" w:line="600" w:before="0" w:after="0"/>
        <w:ind w:firstLine="420"/>
        <w:jc w:val="both"/>
      </w:pPr>
      <w:r>
        <w:rPr>
          <w:rFonts w:ascii="仿宋_GB2312" w:hAnsi="仿宋_GB2312" w:eastAsia="仿宋_GB2312"/>
          <w:b w:val="0"/>
          <w:color w:val="000000"/>
          <w:sz w:val="32"/>
        </w:rPr>
        <w:t>应对措施方面，公司已采取：持续去库存（存货减少4.53亿元、周转率提升8.61%）、强化营运资金管理（经营现金流增长55.44%）、压缩资本开支（投资净流出由3.19亿元降至1.83亿元）、加大研发投入（占比创五年新高）以重建增长动能。</w:t>
      </w:r>
    </w:p>
    <w:p>
      <w:pPr>
        <w:spacing w:lineRule="exact" w:line="600" w:before="120" w:after="120"/>
        <w:ind w:firstLine="420"/>
        <w:jc w:val="left"/>
      </w:pPr>
      <w:r>
        <w:rPr>
          <w:rFonts w:ascii="楷体_GB2312" w:hAnsi="楷体_GB2312" w:eastAsia="楷体_GB2312"/>
          <w:b w:val="0"/>
          <w:color w:val="000000"/>
          <w:sz w:val="32"/>
        </w:rPr>
        <w:t>（四）管理与合规风险</w:t>
      </w:r>
    </w:p>
    <w:p>
      <w:pPr>
        <w:spacing w:lineRule="exact" w:line="600" w:before="0" w:after="0"/>
        <w:ind w:firstLine="420"/>
        <w:jc w:val="both"/>
      </w:pPr>
      <w:r>
        <w:rPr>
          <w:rFonts w:ascii="仿宋_GB2312" w:hAnsi="仿宋_GB2312" w:eastAsia="仿宋_GB2312"/>
          <w:b w:val="0"/>
          <w:color w:val="000000"/>
          <w:sz w:val="32"/>
        </w:rPr>
        <w:t>公司业务形态多元、子公司数量较多，在资产剥离过程中存在处置定价、关联交易与信息披露的合规要求。作为国有控股上市公司，公司在资产处置环节须履行严格的评估、备案与决策程序。从公开信息看，公司近年的资产剥离过程未见重大合规争议，管理规范性总体良好。</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公司资产负债率46.31%、有息负债11.85亿元、应收账款19.12亿元、存货29.03亿元。与集群内新华制药、山东药玻相比，新华医疗是三者中融资需求最真实、最迫切的企业：一方面杠杆水平在同业中偏高（排名第130），另一方面应收账款与存货合计占用资金48.15亿元，营运资金需求巨大。同时其省属国资背景与近百亿营收规模，又保证了极高的信用安全边际。这是一个"需求真实、风险可控"的理想客户。</w:t>
      </w:r>
    </w:p>
    <w:p>
      <w:pPr>
        <w:spacing w:lineRule="exact" w:line="600" w:before="120" w:after="120"/>
        <w:ind w:firstLine="420"/>
        <w:jc w:val="left"/>
      </w:pPr>
      <w:r>
        <w:rPr>
          <w:rFonts w:ascii="楷体_GB2312" w:hAnsi="楷体_GB2312" w:eastAsia="楷体_GB2312"/>
          <w:b w:val="0"/>
          <w:color w:val="000000"/>
          <w:sz w:val="32"/>
        </w:rPr>
        <w:t>（二）保理业务切入建议</w:t>
      </w:r>
    </w:p>
    <w:p>
      <w:pPr>
        <w:spacing w:lineRule="exact" w:line="600" w:before="0" w:after="0"/>
        <w:ind w:firstLine="420"/>
        <w:jc w:val="both"/>
      </w:pPr>
      <w:r>
        <w:rPr>
          <w:rFonts w:ascii="仿宋_GB2312" w:hAnsi="仿宋_GB2312" w:eastAsia="仿宋_GB2312"/>
          <w:b w:val="0"/>
          <w:color w:val="000000"/>
          <w:sz w:val="32"/>
        </w:rPr>
        <w:t>这是与公司协同价值最高的产品。公司应收账款19.12亿元、占营收19.64%、周转率仅5.14次，且债务人主体以公立医疗机构、大型医药流通企业和制药企业为主，信用等级高、违约概率极低，但账期长、占用资金大——这正是保理业务的最佳适用场景。</w:t>
      </w:r>
    </w:p>
    <w:p>
      <w:pPr>
        <w:spacing w:lineRule="exact" w:line="600" w:before="0" w:after="0"/>
        <w:ind w:firstLine="420"/>
        <w:jc w:val="both"/>
      </w:pPr>
      <w:r>
        <w:rPr>
          <w:rFonts w:ascii="仿宋_GB2312" w:hAnsi="仿宋_GB2312" w:eastAsia="仿宋_GB2312"/>
          <w:b w:val="0"/>
          <w:color w:val="000000"/>
          <w:sz w:val="32"/>
        </w:rPr>
        <w:t>具体建议：一是针对公立医院应收账款开展"有追索权保理"或"应收账款质押融资"，医院回款确定性高、仅存在时间性错配，风险极低；二是针对制药装备业务的大额合同应收款开展项目保理，按验收进度分期融资；三是探索应收账款池保理，以其19.12亿元应收账款池为基础核定循环额度，按池内合格应收账款余额动态融资，为公司提供持续、便捷的流动性支持。该产品可直接改善公司的应收账款周转率与现金流指标。</w:t>
      </w:r>
    </w:p>
    <w:p>
      <w:pPr>
        <w:spacing w:lineRule="exact" w:line="600" w:before="120" w:after="120"/>
        <w:ind w:firstLine="420"/>
        <w:jc w:val="left"/>
      </w:pPr>
      <w:r>
        <w:rPr>
          <w:rFonts w:ascii="楷体_GB2312" w:hAnsi="楷体_GB2312" w:eastAsia="楷体_GB2312"/>
          <w:b w:val="0"/>
          <w:color w:val="000000"/>
          <w:sz w:val="32"/>
        </w:rPr>
        <w:t>（三）供应链金融切入建议</w:t>
      </w:r>
    </w:p>
    <w:p>
      <w:pPr>
        <w:spacing w:lineRule="exact" w:line="600" w:before="0" w:after="0"/>
        <w:ind w:firstLine="420"/>
        <w:jc w:val="both"/>
      </w:pPr>
      <w:r>
        <w:rPr>
          <w:rFonts w:ascii="仿宋_GB2312" w:hAnsi="仿宋_GB2312" w:eastAsia="仿宋_GB2312"/>
          <w:b w:val="0"/>
          <w:color w:val="000000"/>
          <w:sz w:val="32"/>
        </w:rPr>
        <w:t>公司作为淄博高新区药械集群的链主，上游连接大量精密加工、电气控制、注塑、钣金、包装与物流配套的中小企业。建议以新华医疗为核心企业搭建反向保理平台，为其上游供应商提供基于核心企业确权的应付账款融资。2025年公司应付票据及应付账款较上年末减少8.08%，说明公司在主动压缩上游占款，此时引入反向保理可以在不增加供应商资金压力的前提下优化公司自身的付款节奏，实现双赢。</w:t>
      </w:r>
    </w:p>
    <w:p>
      <w:pPr>
        <w:spacing w:lineRule="exact" w:line="600" w:before="0" w:after="0"/>
        <w:ind w:firstLine="420"/>
        <w:jc w:val="both"/>
      </w:pPr>
      <w:r>
        <w:rPr>
          <w:rFonts w:ascii="仿宋_GB2312" w:hAnsi="仿宋_GB2312" w:eastAsia="仿宋_GB2312"/>
          <w:b w:val="0"/>
          <w:color w:val="000000"/>
          <w:sz w:val="32"/>
        </w:rPr>
        <w:t>此外，公司医疗商贸板块（收入29.11亿元）涉及大量对第三方器械厂商的采购与对下游医疗机构的分销，是典型的供应链金融应用场景，可围绕其分销体系设计"经销商订货融资"产品。</w:t>
      </w:r>
    </w:p>
    <w:p>
      <w:pPr>
        <w:spacing w:lineRule="exact" w:line="600" w:before="120" w:after="120"/>
        <w:ind w:firstLine="420"/>
        <w:jc w:val="left"/>
      </w:pPr>
      <w:r>
        <w:rPr>
          <w:rFonts w:ascii="楷体_GB2312" w:hAnsi="楷体_GB2312" w:eastAsia="楷体_GB2312"/>
          <w:b w:val="0"/>
          <w:color w:val="000000"/>
          <w:sz w:val="32"/>
        </w:rPr>
        <w:t>（四）融资租赁切入建议</w:t>
      </w:r>
    </w:p>
    <w:p>
      <w:pPr>
        <w:spacing w:lineRule="exact" w:line="600" w:before="0" w:after="0"/>
        <w:ind w:firstLine="420"/>
        <w:jc w:val="both"/>
      </w:pPr>
      <w:r>
        <w:rPr>
          <w:rFonts w:ascii="仿宋_GB2312" w:hAnsi="仿宋_GB2312" w:eastAsia="仿宋_GB2312"/>
          <w:b w:val="0"/>
          <w:color w:val="000000"/>
          <w:sz w:val="32"/>
        </w:rPr>
        <w:t>公司2025年固定资产较上年末增加19.24%、在建工程减少95.49%，表明前期投资项目已集中转固，形成了大量可用于售后回租的优质设备资产。建议重点推荐售后回租方案：对新近转固的生产线、精密加工设备、检测设备开展回租，一次性释放沉淀资金用于补充营运资金（缓解应收账款与存货的资金占用），租期设计3—5年匹配设备折旧周期。</w:t>
      </w:r>
    </w:p>
    <w:p>
      <w:pPr>
        <w:spacing w:lineRule="exact" w:line="600" w:before="0" w:after="0"/>
        <w:ind w:firstLine="420"/>
        <w:jc w:val="both"/>
      </w:pPr>
      <w:r>
        <w:rPr>
          <w:rFonts w:ascii="仿宋_GB2312" w:hAnsi="仿宋_GB2312" w:eastAsia="仿宋_GB2312"/>
          <w:b w:val="0"/>
          <w:color w:val="000000"/>
          <w:sz w:val="32"/>
        </w:rPr>
        <w:t>同时，公司的制药装备与大型医疗设备本身即是融资租赁的优质标的物。建议山东投资探索"厂商租赁"模式：与新华医疗合作，为其下游客户（医院购置大型医疗设备、制药企业购置成套装备）提供融资租赁服务，由新华医疗提供回购或维修保证。这一模式既帮助公司促进销售、缩短回款周期，又为山东投资开辟以设备为抵押物的低风险资产投放渠道，协同价值极高，建议作为重点方向推进。</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建议围绕公司生态圈开展：一是为其医疗商贸板块的下游中小经销商、基层医疗机构提供小额订货融资；二是为其上游长尾配套供应商提供短期周转贷款；三是为淄博本地围绕新华医疗形成的医疗器械配套中小企业集群提供普惠金融服务。风控上以在新华医疗体系内的交易流水与订单数据为核心依据。</w:t>
      </w:r>
    </w:p>
    <w:p>
      <w:pPr>
        <w:spacing w:lineRule="exact" w:line="600" w:before="120" w:after="120"/>
        <w:ind w:firstLine="420"/>
        <w:jc w:val="left"/>
      </w:pPr>
      <w:r>
        <w:rPr>
          <w:rFonts w:ascii="楷体_GB2312" w:hAnsi="楷体_GB2312" w:eastAsia="楷体_GB2312"/>
          <w:b w:val="0"/>
          <w:color w:val="000000"/>
          <w:sz w:val="32"/>
        </w:rPr>
        <w:t>（六）综合协同建议</w:t>
      </w:r>
    </w:p>
    <w:p>
      <w:pPr>
        <w:spacing w:lineRule="exact" w:line="600" w:before="0" w:after="0"/>
        <w:ind w:firstLine="420"/>
        <w:jc w:val="both"/>
      </w:pPr>
      <w:r>
        <w:rPr>
          <w:rFonts w:ascii="仿宋_GB2312" w:hAnsi="仿宋_GB2312" w:eastAsia="仿宋_GB2312"/>
          <w:b w:val="0"/>
          <w:color w:val="000000"/>
          <w:sz w:val="32"/>
        </w:rPr>
        <w:t>建议山东投资将新华医疗列为医疗健康板块的重点战略客户，采取"保理为主、厂商租赁为特色、供应链金融为延伸"的组合策略。鉴于公司与山东投资同属山东省国资体系，在客户准入、风险偏好与战略协同上具有天然契合度，建议探索建立长期战略合作关系，并可考虑在医疗设备融资租赁领域成立专项合作机制。同时，可以新华医疗、新华制药为双链主，构建覆盖淄博高新区药械集群的一体化供应链金融平台。</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新华医疗是山东省属国资控股的老牌医疗器械与制药装备龙头，2025年实现营业总收入97.36亿元、归母净利润5.26亿元，收入规模在同业中排名第4，总资产周转率排名第10，具备显著的规模与运营效率优势。公司拥有深厚的品牌积淀、完整的注册证体系与"制造＋商贸＋服务"的全链条布局。</w:t>
      </w:r>
    </w:p>
    <w:p>
      <w:pPr>
        <w:spacing w:lineRule="exact" w:line="600" w:before="0" w:after="0"/>
        <w:ind w:firstLine="420"/>
        <w:jc w:val="both"/>
      </w:pPr>
      <w:r>
        <w:rPr>
          <w:rFonts w:ascii="仿宋_GB2312" w:hAnsi="仿宋_GB2312" w:eastAsia="仿宋_GB2312"/>
          <w:b w:val="0"/>
          <w:color w:val="000000"/>
          <w:sz w:val="32"/>
        </w:rPr>
        <w:t>但公司当前面临明确的成长性困境。2025年营收跌破百亿（-2.84%）、归母净利润下滑23.90%、扣非净利润缩水26.66%，四大板块毛利率全线下降，2026年一季度营收与利润继续双降。前期"卖资产、减包袱"的战略红利已基本释放完毕，而主业内生增长动能尚未有效建立，正如媒体评论所言，"当包袱真正卸下，露出来的主业肌体，并没有想象中强壮"。</w:t>
      </w:r>
    </w:p>
    <w:p>
      <w:pPr>
        <w:spacing w:lineRule="exact" w:line="600" w:before="0" w:after="0"/>
        <w:ind w:firstLine="420"/>
        <w:jc w:val="both"/>
      </w:pPr>
      <w:r>
        <w:rPr>
          <w:rFonts w:ascii="仿宋_GB2312" w:hAnsi="仿宋_GB2312" w:eastAsia="仿宋_GB2312"/>
          <w:b w:val="0"/>
          <w:color w:val="000000"/>
          <w:sz w:val="32"/>
        </w:rPr>
        <w:t>财务安全性方面，公司资产负债率46.31%（同比下降2.28个百分点）、有息负债仅11.85亿元、经营活动现金流7.01亿元（同比增长55.44%）、净利润现金含量132.66%。偿债能力有充分保障，短期信用风险低。</w:t>
      </w:r>
    </w:p>
    <w:p>
      <w:pPr>
        <w:spacing w:lineRule="exact" w:line="600" w:before="0" w:after="0"/>
        <w:ind w:firstLine="420"/>
        <w:jc w:val="both"/>
      </w:pPr>
      <w:r>
        <w:rPr>
          <w:rFonts w:ascii="仿宋_GB2312" w:hAnsi="仿宋_GB2312" w:eastAsia="仿宋_GB2312"/>
          <w:b w:val="0"/>
          <w:color w:val="000000"/>
          <w:sz w:val="32"/>
        </w:rPr>
        <w:t>总体评价：公司属于"转型阵痛期的规模型国企龙头"，信用资质稳健但成长性存疑，适合作为中短期、以真实贸易背景与应收账款为基础的融资客户，在长期股权类合作上宜保持观察。</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据公司披露的经营方针，公司将继续深耕"医疗器械、制药装备"两大制造主业，适度延伸"医疗服务、医疗商贸"链式发展。可预期的积极因素有三：一是研发投入占比创五年新高（4.54%），为新产品储备提供支撑；二是在建工程大规模转固，新增产能开始释放，若需求回暖将带来经营杠杆的正向效应；三是经营现金流大幅改善（+55.44%）与存货去化（-4.53亿元），经营质量的底层指标在好转。</w:t>
      </w:r>
    </w:p>
    <w:p>
      <w:pPr>
        <w:spacing w:lineRule="exact" w:line="600" w:before="0" w:after="0"/>
        <w:ind w:firstLine="420"/>
        <w:jc w:val="both"/>
      </w:pPr>
      <w:r>
        <w:rPr>
          <w:rFonts w:ascii="仿宋_GB2312" w:hAnsi="仿宋_GB2312" w:eastAsia="仿宋_GB2312"/>
          <w:b w:val="0"/>
          <w:color w:val="000000"/>
          <w:sz w:val="32"/>
        </w:rPr>
        <w:t>主要不确定性在于：医疗器械集采的扩围节奏、医药行业固定资产投资的复苏时点、以及公司能否在高端器械或高附加值装备上实现技术突破。以上属行业趋势判断，本报告不作具体数值预测。</w:t>
      </w:r>
    </w:p>
    <w:p>
      <w:pPr>
        <w:spacing w:lineRule="exact" w:line="600" w:before="120" w:after="120"/>
        <w:ind w:firstLine="420"/>
        <w:jc w:val="left"/>
      </w:pPr>
      <w:r>
        <w:rPr>
          <w:rFonts w:ascii="楷体_GB2312" w:hAnsi="楷体_GB2312" w:eastAsia="楷体_GB2312"/>
          <w:b w:val="0"/>
          <w:color w:val="000000"/>
          <w:sz w:val="32"/>
        </w:rPr>
        <w:t>（三）面临的挑战</w:t>
      </w:r>
    </w:p>
    <w:p>
      <w:pPr>
        <w:spacing w:lineRule="exact" w:line="600" w:before="0" w:after="0"/>
        <w:ind w:firstLine="420"/>
        <w:jc w:val="both"/>
      </w:pPr>
      <w:r>
        <w:rPr>
          <w:rFonts w:ascii="仿宋_GB2312" w:hAnsi="仿宋_GB2312" w:eastAsia="仿宋_GB2312"/>
          <w:b w:val="0"/>
          <w:color w:val="000000"/>
          <w:sz w:val="32"/>
        </w:rPr>
        <w:t>一是重建增长动能的挑战。公司需要从"做减法"转向"做加法"，而在集采压价与行业需求疲软的双重环境下，内生增长的难度显著大于资产剥离。</w:t>
      </w:r>
    </w:p>
    <w:p>
      <w:pPr>
        <w:spacing w:lineRule="exact" w:line="600" w:before="0" w:after="0"/>
        <w:ind w:firstLine="420"/>
        <w:jc w:val="both"/>
      </w:pPr>
      <w:r>
        <w:rPr>
          <w:rFonts w:ascii="仿宋_GB2312" w:hAnsi="仿宋_GB2312" w:eastAsia="仿宋_GB2312"/>
          <w:b w:val="0"/>
          <w:color w:val="000000"/>
          <w:sz w:val="32"/>
        </w:rPr>
        <w:t>二是提升盈利质量的挑战。毛利率同业排名第123位，医疗商贸业务占比近三成持续稀释盈利。公司需要在"要规模"与"要利润"之间作出取舍。</w:t>
      </w:r>
    </w:p>
    <w:p>
      <w:pPr>
        <w:spacing w:lineRule="exact" w:line="600" w:before="0" w:after="0"/>
        <w:ind w:firstLine="420"/>
        <w:jc w:val="both"/>
      </w:pPr>
      <w:r>
        <w:rPr>
          <w:rFonts w:ascii="仿宋_GB2312" w:hAnsi="仿宋_GB2312" w:eastAsia="仿宋_GB2312"/>
          <w:b w:val="0"/>
          <w:color w:val="000000"/>
          <w:sz w:val="32"/>
        </w:rPr>
        <w:t>三是营运资金管理的挑战。应收账款19.12亿元且占比连续多年走高，存货29.03亿元占净资产38.03%，两项合计占用资金48.15亿元，是制约资本回报率的关键因素。</w:t>
      </w:r>
    </w:p>
    <w:p>
      <w:pPr>
        <w:spacing w:lineRule="exact" w:line="600" w:before="0" w:after="0"/>
        <w:ind w:firstLine="420"/>
        <w:jc w:val="both"/>
      </w:pPr>
      <w:r>
        <w:rPr>
          <w:rFonts w:ascii="仿宋_GB2312" w:hAnsi="仿宋_GB2312" w:eastAsia="仿宋_GB2312"/>
          <w:b w:val="0"/>
          <w:color w:val="000000"/>
          <w:sz w:val="32"/>
        </w:rPr>
        <w:t>四是国际化的挑战。境外收入仅3.96亿元、占比4.07%，在国内市场增长见顶的情况下，国际化是必然选择，但公司在这方面基础薄弱。</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结论：新华医疗规模优势显著、信用资质稳健、现金流质量良好，但正处于增长动能转换的关键期，业绩短期承压。公司偿债能力无虞，融资风险可控，但需密切跟踪其营收与订单指标的边际变化。</w:t>
      </w:r>
    </w:p>
    <w:p>
      <w:pPr>
        <w:spacing w:lineRule="exact" w:line="600" w:before="0" w:after="0"/>
        <w:ind w:firstLine="420"/>
        <w:jc w:val="both"/>
      </w:pPr>
      <w:r>
        <w:rPr>
          <w:rFonts w:ascii="仿宋_GB2312" w:hAnsi="仿宋_GB2312" w:eastAsia="仿宋_GB2312"/>
          <w:b w:val="0"/>
          <w:color w:val="000000"/>
          <w:sz w:val="32"/>
        </w:rPr>
        <w:t>对企业的建议：一是聚焦高毛利的医疗器械制造与制药装备主业，审慎评估医疗商贸业务的战略价值；二是将应收账款管理提升至战略高度，通过保理等金融工具加速回款；三是加大在高端器械领域的研发投入，将研发强度的提升转化为产品结构的升级；四是加快国际化布局，当前4.07%的境外收入占比存在巨大提升空间。</w:t>
      </w:r>
    </w:p>
    <w:p>
      <w:pPr>
        <w:spacing w:lineRule="exact" w:line="600" w:before="0" w:after="0"/>
        <w:ind w:firstLine="420"/>
        <w:jc w:val="both"/>
      </w:pPr>
      <w:r>
        <w:rPr>
          <w:rFonts w:ascii="仿宋_GB2312" w:hAnsi="仿宋_GB2312" w:eastAsia="仿宋_GB2312"/>
          <w:b w:val="0"/>
          <w:color w:val="000000"/>
          <w:sz w:val="32"/>
        </w:rPr>
        <w:t>对山东投资的建议：一是以应收账款保理作为切入的主打产品，公司19.12亿元的优质应收账款是天然的合作基础；二是重点探索"厂商租赁"模式，与公司合作为其设备销售提供买方融资，这是能同时创造客户价值与业务规模的最佳协同点；三是以公司为核心企业开展反向保理，服务淄博本地器械配套中小企业；四是重点监测三项指标——季度营业收入增速、合同负债余额变化、应收账款周转率，作为业务额度动态调整的核心依据；五是鉴于2026年一季度业绩继续下滑，建议在业务期限上以一年以内的短期产品为主，审慎介入长周期信用融资。</w:t>
      </w:r>
    </w:p>
    <w:p>
      <w:pPr>
        <w:spacing w:lineRule="exact" w:line="600" w:before="120" w:after="120"/>
        <w:ind w:firstLine="420"/>
        <w:jc w:val="left"/>
      </w:pPr>
      <w:r>
        <w:rPr>
          <w:rFonts w:ascii="黑体" w:hAnsi="黑体" w:eastAsia="黑体"/>
          <w:b w:val="0"/>
          <w:color w:val="000000"/>
          <w:sz w:val="32"/>
        </w:rPr>
        <w:t>九、数据来源说明</w:t>
      </w:r>
    </w:p>
    <w:p>
      <w:pPr>
        <w:spacing w:lineRule="exact" w:line="600" w:before="0" w:after="0"/>
        <w:ind w:firstLine="420"/>
        <w:jc w:val="both"/>
      </w:pPr>
      <w:r>
        <w:rPr>
          <w:rFonts w:ascii="仿宋_GB2312" w:hAnsi="仿宋_GB2312" w:eastAsia="仿宋_GB2312"/>
          <w:b w:val="0"/>
          <w:color w:val="000000"/>
          <w:sz w:val="32"/>
        </w:rPr>
        <w:t>1. 山东新华医疗器械股份有限公司《2025年年度报告》（上海证券交易所指定披露渠道，2026年4月30日）。</w:t>
      </w:r>
    </w:p>
    <w:p>
      <w:pPr>
        <w:spacing w:lineRule="exact" w:line="600" w:before="0" w:after="0"/>
        <w:ind w:firstLine="420"/>
        <w:jc w:val="both"/>
      </w:pPr>
      <w:r>
        <w:rPr>
          <w:rFonts w:ascii="仿宋_GB2312" w:hAnsi="仿宋_GB2312" w:eastAsia="仿宋_GB2312"/>
          <w:b w:val="0"/>
          <w:color w:val="000000"/>
          <w:sz w:val="32"/>
        </w:rPr>
        <w:t>2. 中证智能财讯《新华医疗：2025年净利润5.26亿元 拟10派1元》（2026年4月30日）。</w:t>
      </w:r>
    </w:p>
    <w:p>
      <w:pPr>
        <w:spacing w:lineRule="exact" w:line="600" w:before="0" w:after="0"/>
        <w:ind w:firstLine="420"/>
        <w:jc w:val="both"/>
      </w:pPr>
      <w:r>
        <w:rPr>
          <w:rFonts w:ascii="仿宋_GB2312" w:hAnsi="仿宋_GB2312" w:eastAsia="仿宋_GB2312"/>
          <w:b w:val="0"/>
          <w:color w:val="000000"/>
          <w:sz w:val="32"/>
        </w:rPr>
        <w:t>3. 腾讯新闻财经《新华医疗2025年年报净利润为5.26亿元、同比较去年同期下降23.90%》（2026年4月30日）。</w:t>
      </w:r>
    </w:p>
    <w:p>
      <w:pPr>
        <w:spacing w:lineRule="exact" w:line="600" w:before="0" w:after="0"/>
        <w:ind w:firstLine="420"/>
        <w:jc w:val="both"/>
      </w:pPr>
      <w:r>
        <w:rPr>
          <w:rFonts w:ascii="仿宋_GB2312" w:hAnsi="仿宋_GB2312" w:eastAsia="仿宋_GB2312"/>
          <w:b w:val="0"/>
          <w:color w:val="000000"/>
          <w:sz w:val="32"/>
        </w:rPr>
        <w:t>4. 齐鲁晚报·海岱财经《新华医疗，失守百亿》（2026年，含2025年年报与2026年一季报分析）。</w:t>
      </w:r>
    </w:p>
    <w:p>
      <w:pPr>
        <w:spacing w:lineRule="exact" w:line="600" w:before="0" w:after="0"/>
        <w:ind w:firstLine="420"/>
        <w:jc w:val="both"/>
      </w:pPr>
      <w:r>
        <w:rPr>
          <w:rFonts w:ascii="仿宋_GB2312" w:hAnsi="仿宋_GB2312" w:eastAsia="仿宋_GB2312"/>
          <w:b w:val="0"/>
          <w:color w:val="000000"/>
          <w:sz w:val="32"/>
        </w:rPr>
        <w:t>5. 公开A股财务指标数据库新华医疗（600587.SH）2025年年报财务指标、主营构成与前十大股东数据。</w:t>
      </w:r>
    </w:p>
    <w:p>
      <w:pPr>
        <w:spacing w:lineRule="exact" w:line="600" w:before="0" w:after="0"/>
        <w:ind w:firstLine="420"/>
        <w:jc w:val="both"/>
      </w:pPr>
      <w:r>
        <w:rPr>
          <w:rFonts w:ascii="仿宋_GB2312" w:hAnsi="仿宋_GB2312" w:eastAsia="仿宋_GB2312"/>
          <w:b w:val="0"/>
          <w:color w:val="000000"/>
          <w:sz w:val="32"/>
        </w:rPr>
        <w:t>6. 公司官方网站与巨潮资讯网公开披露信息。</w:t>
      </w:r>
    </w:p>
    <w:p>
      <w:pPr>
        <w:spacing w:lineRule="exact" w:line="600" w:before="0" w:after="0"/>
        <w:jc w:val="left"/>
      </w:pPr>
      <w:r>
        <w:rPr>
          <w:rFonts w:ascii="仿宋_GB2312" w:hAnsi="仿宋_GB2312" w:eastAsia="仿宋_GB2312"/>
          <w:b w:val="0"/>
          <w:color w:val="000000"/>
          <w:sz w:val="28"/>
        </w:rPr>
        <w:t>（说明：本报告所引用财务数据均来自上市公司经审计定期报告或交易所指定披露渠道，未经审计的期间数据已在文中注明；对未公开披露的经营细节，本报告不作数字推测，仅作定性描述。报告结论供内部投融资决策参考，不构成投资建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