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山东淄博高新区(药品及医疗器械)特色产业集群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山东省药用玻璃股份有限公司企业分析报告</w:t>
      </w:r>
    </w:p>
    <w:p>
      <w:pPr>
        <w:spacing w:lineRule="exact" w:line="600" w:before="0" w:after="0"/>
        <w:jc w:val="left"/>
      </w:pPr>
      <w:r>
        <w:rPr>
          <w:rFonts w:ascii="仿宋_GB2312" w:hAnsi="仿宋_GB2312" w:eastAsia="仿宋_GB2312"/>
          <w:b w:val="0"/>
          <w:color w:val="000000"/>
          <w:sz w:val="28"/>
        </w:rPr>
        <w:t>（本报告数据来源于公司定期报告、上海证券交易所披露文件、巨潮资讯网、公司官方网站、天眼查工商登记信息及中国证券报、华夏时报、齐鲁晚报等权威媒体公开报道，统计时点截至最新披露信息。未公开披露事项已如实标注，不作推测性填充。）</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山东省药用玻璃股份有限公司（以下简称"山东药玻"或"公司"），公司外文名称为SHANDONG PHARMACEUTICAL GLASS CO. LTD，外文缩写SPG。公司注册地址与办公地址均为山东省淄博市沂源县城，邮政编码256100，公司网址为http://www.pharmglass.com，电子信箱sdyb@pharmglass.com。公司法定代表人为张军（现任总经理），董事会秘书为赵海宝，证券事务代表为茹波，联系电话0533-3259016。</w:t>
      </w:r>
    </w:p>
    <w:p>
      <w:pPr>
        <w:spacing w:lineRule="exact" w:line="600" w:before="0" w:after="0"/>
        <w:ind w:firstLine="420"/>
        <w:jc w:val="both"/>
      </w:pPr>
      <w:r>
        <w:rPr>
          <w:rFonts w:ascii="仿宋_GB2312" w:hAnsi="仿宋_GB2312" w:eastAsia="仿宋_GB2312"/>
          <w:b w:val="0"/>
          <w:color w:val="000000"/>
          <w:sz w:val="32"/>
        </w:rPr>
        <w:t>需如实说明：公司注册地与主要生产基地位于淄博市沂源县，而非淄博高新技术产业开发区。公司被纳入"山东淄博高新区(药品及医疗器械)特色产业集群"的分析范围，主要基于其作为淄博市医药产业链关键环节（药用玻璃包装）的龙头地位，与集群内新华制药、新华医疗等药品与器械企业构成上下游配套关系。本报告在涉及区位表述时以工商登记信息为准。</w:t>
      </w:r>
    </w:p>
    <w:p>
      <w:pPr>
        <w:spacing w:lineRule="exact" w:line="600" w:before="0" w:after="0"/>
        <w:ind w:firstLine="420"/>
        <w:jc w:val="both"/>
      </w:pPr>
      <w:r>
        <w:rPr>
          <w:rFonts w:ascii="仿宋_GB2312" w:hAnsi="仿宋_GB2312" w:eastAsia="仿宋_GB2312"/>
          <w:b w:val="0"/>
          <w:color w:val="000000"/>
          <w:sz w:val="32"/>
        </w:rPr>
        <w:t>资本市场方面，公司A股在上海证券交易所上市，股票简称"山东药玻"，股票代码600529，上市以来未变更过股票简称。公司披露年度报告的媒体为《中国证券报》《上海证券报》，披露网址为上海证券交易所网站（http://www.sse.com.cn）。公司聘请的境内会计师事务所为中汇会计师事务所（特殊普通合伙），2025年度审计签字会计师为刘元锁、吴正洋，出具标准无保留意见审计报告。</w:t>
      </w:r>
    </w:p>
    <w:p>
      <w:pPr>
        <w:spacing w:lineRule="exact" w:line="600" w:before="0" w:after="0"/>
        <w:ind w:firstLine="420"/>
        <w:jc w:val="both"/>
      </w:pPr>
      <w:r>
        <w:rPr>
          <w:rFonts w:ascii="仿宋_GB2312" w:hAnsi="仿宋_GB2312" w:eastAsia="仿宋_GB2312"/>
          <w:b w:val="0"/>
          <w:color w:val="000000"/>
          <w:sz w:val="32"/>
        </w:rPr>
        <w:t>股本方面，截至2025年12月31日，公司总股本为663,614,113股。公司2025年度利润分配预案为：以2025年末总股本663,614,113股为基数，向全体股东每10股派发现金1.80元（含税），拟分配现金股利共计119,450,540.34元，剩余未分配利润结转下一年度。该预案于2026年3月5日经第十一届董事会第六次会议审议通过。</w:t>
      </w:r>
    </w:p>
    <w:p>
      <w:pPr>
        <w:spacing w:lineRule="exact" w:line="600" w:before="0" w:after="0"/>
        <w:ind w:firstLine="420"/>
        <w:jc w:val="both"/>
      </w:pPr>
      <w:r>
        <w:rPr>
          <w:rFonts w:ascii="仿宋_GB2312" w:hAnsi="仿宋_GB2312" w:eastAsia="仿宋_GB2312"/>
          <w:b w:val="0"/>
          <w:color w:val="000000"/>
          <w:sz w:val="32"/>
        </w:rPr>
        <w:t>股权结构与控制权方面，据2026年3月公开报道，中国医药集团有限公司（国药集团）入主山东药玻已进入最后实施阶段。若该事项最终完成，公司控股股东与实际控制人将发生变更，公司将由地方企业转变为中央企业控股的上市公司，国资层级将提升至"国务院国资委—中国医药集团—上市公司"。截至本报告撰写时，该股权变更事项的最终交割结果以公司后续公告为准，本报告不作预判。</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以沂源本部为核心生产基地，围绕药用玻璃包装主业构建生产、销售与贸易一体化组织体系。按2025年年报主营业务构成披露口径，公司业务可划分为制造业与商贸两大板块：制造业收入42.24亿元，占比94.52%；商贸收入1.85亿元，占比4.14%；其他收入合计6,000.84万元，占比1.34%。制造业为绝对主体，商贸板块主要服务于原辅料（如纯碱、石英砂等）的贸易与调剂。</w:t>
      </w:r>
    </w:p>
    <w:p>
      <w:pPr>
        <w:spacing w:lineRule="exact" w:line="600" w:before="0" w:after="0"/>
        <w:ind w:firstLine="420"/>
        <w:jc w:val="both"/>
      </w:pPr>
      <w:r>
        <w:rPr>
          <w:rFonts w:ascii="仿宋_GB2312" w:hAnsi="仿宋_GB2312" w:eastAsia="仿宋_GB2312"/>
          <w:b w:val="0"/>
          <w:color w:val="000000"/>
          <w:sz w:val="32"/>
        </w:rPr>
        <w:t>公司产品线按品类划分为若干产品事业单元，包括模制瓶系列、棕色瓶系列、管制瓶、安瓿瓶、丁基胶塞系列、铝塑盖塑料瓶系列等。其中模制瓶系列涵盖钠钙玻璃模制注射剂瓶、钠钙玻璃输液瓶、钠钙玻璃模制药瓶（白料）、中硼硅玻璃模制注射剂瓶、中硼硅玻璃输液瓶、中硼硅玻璃模制食品瓶、中硼硅玻璃模制药瓶、玻璃容器化妆品瓶、食品包装用玻璃瓶等；棕色瓶系列指钠钙玻璃模制药瓶（棕色）与钠钙玻璃模制注射剂瓶棕料产品。</w:t>
      </w:r>
    </w:p>
    <w:p>
      <w:pPr>
        <w:spacing w:lineRule="exact" w:line="600" w:before="0" w:after="0"/>
        <w:ind w:firstLine="420"/>
        <w:jc w:val="both"/>
      </w:pPr>
      <w:r>
        <w:rPr>
          <w:rFonts w:ascii="仿宋_GB2312" w:hAnsi="仿宋_GB2312" w:eastAsia="仿宋_GB2312"/>
          <w:b w:val="0"/>
          <w:color w:val="000000"/>
          <w:sz w:val="32"/>
        </w:rPr>
        <w:t>公司销售组织按国内、国外两大市场划分。2025年国内收入29.13亿元，占比65.10%；国外收入15.02亿元，占比33.56%。海外销售网络的独立运营是公司组织架构中的重要特征，也是其区别于多数国内药包材企业的核心组织能力。</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起源于山东沂源，长期专注于药用玻璃包装材料的研发、生产与销售，是我国药用玻璃行业历史最悠久、规模最大的企业之一。公司通过持续的窑炉技术改造与产品结构升级，由传统钠钙玻璃制品向中硼硅玻璃制品、由单一玻璃瓶向"玻璃瓶＋胶塞＋铝塑盖"综合包装解决方案演进。</w:t>
      </w:r>
    </w:p>
    <w:p>
      <w:pPr>
        <w:spacing w:lineRule="exact" w:line="600" w:before="0" w:after="0"/>
        <w:ind w:firstLine="420"/>
        <w:jc w:val="both"/>
      </w:pPr>
      <w:r>
        <w:rPr>
          <w:rFonts w:ascii="仿宋_GB2312" w:hAnsi="仿宋_GB2312" w:eastAsia="仿宋_GB2312"/>
          <w:b w:val="0"/>
          <w:color w:val="000000"/>
          <w:sz w:val="32"/>
        </w:rPr>
        <w:t>资本市场方面，公司A股在上海证券交易所上市（代码600529）。2022年11月26日至2023年12月31日期间，中信证券股份有限公司履行持续督导职责，签字保荐代表人为李建、康恒溢，表明公司在此期间实施过再融资项目，募集资金主要投向产能与技术升级。</w:t>
      </w:r>
    </w:p>
    <w:p>
      <w:pPr>
        <w:spacing w:lineRule="exact" w:line="600" w:before="0" w:after="0"/>
        <w:ind w:firstLine="420"/>
        <w:jc w:val="both"/>
      </w:pPr>
      <w:r>
        <w:rPr>
          <w:rFonts w:ascii="仿宋_GB2312" w:hAnsi="仿宋_GB2312" w:eastAsia="仿宋_GB2312"/>
          <w:b w:val="0"/>
          <w:color w:val="000000"/>
          <w:sz w:val="32"/>
        </w:rPr>
        <w:t>会计处理方面，公司基于谨慎从严原则，对前期部分营业收入由"总额法"调整为"净额法"，相应进行了前期会计差错更正。据此，2024年营业收入由调整前的51.25亿元调整为49.05亿元，2023年由调整前的49.82亿元调整为47.71亿元，利润类指标未发生变化。本报告涉及历史比较的收入数据，均采用调整后口径。</w:t>
      </w:r>
    </w:p>
    <w:p>
      <w:pPr>
        <w:spacing w:lineRule="exact" w:line="600" w:before="0" w:after="0"/>
        <w:ind w:firstLine="420"/>
        <w:jc w:val="both"/>
      </w:pPr>
      <w:r>
        <w:rPr>
          <w:rFonts w:ascii="仿宋_GB2312" w:hAnsi="仿宋_GB2312" w:eastAsia="仿宋_GB2312"/>
          <w:b w:val="0"/>
          <w:color w:val="000000"/>
          <w:sz w:val="32"/>
        </w:rPr>
        <w:t>2025年，公司提出"抢市场扩销量、提质量保市场、降成本促增长"的经营方针，以应对国内制药企业需求下降带来的经营压力。同期，国药集团入主事项进入实施阶段，据市场分析，此举有望为公司破解发展瓶颈、拓展海外布局注入新动力。</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国内药用玻璃行业的龙头企业之一"，主要从事各种药用玻璃瓶产品的研发、生产、销售，主要玻璃瓶产品包括模制瓶系列产品、棕色瓶系列产品、安瓿瓶、管制瓶等，在行业内具备较强的市场竞争力。</w:t>
      </w:r>
    </w:p>
    <w:p>
      <w:pPr>
        <w:spacing w:lineRule="exact" w:line="600" w:before="0" w:after="0"/>
        <w:ind w:firstLine="420"/>
        <w:jc w:val="both"/>
      </w:pPr>
      <w:r>
        <w:rPr>
          <w:rFonts w:ascii="仿宋_GB2312" w:hAnsi="仿宋_GB2312" w:eastAsia="仿宋_GB2312"/>
          <w:b w:val="0"/>
          <w:color w:val="000000"/>
          <w:sz w:val="32"/>
        </w:rPr>
        <w:t>公司核心产品为中硼硅玻璃模制瓶，这是我国药包材"一致性评价"与"关联审评审批"制度改革下的战略品类。相较传统钠钙玻璃，中硼硅玻璃具有更低的碱金属离子溶出、更强的耐水耐酸碱性能与更好的化学稳定性，是生物制品、疫苗、高端注射剂的必需包装材料。公司在中硼硅模制瓶领域的技术积累与产能布局，构成其最重要的战略资产。</w:t>
      </w:r>
    </w:p>
    <w:p>
      <w:pPr>
        <w:spacing w:lineRule="exact" w:line="600" w:before="0" w:after="0"/>
        <w:ind w:firstLine="420"/>
        <w:jc w:val="both"/>
      </w:pPr>
      <w:r>
        <w:rPr>
          <w:rFonts w:ascii="仿宋_GB2312" w:hAnsi="仿宋_GB2312" w:eastAsia="仿宋_GB2312"/>
          <w:b w:val="0"/>
          <w:color w:val="000000"/>
          <w:sz w:val="32"/>
        </w:rPr>
        <w:t>在淄博市医药产业格局中，公司居于"药品—包装"链条的关键环节：向上采购纯碱、石英砂、硼砂等无机原料与天然气等能源；向下为国内外制药企业提供注射剂瓶、输液瓶、口服液瓶等初级包装，与新华制药等制剂企业形成天然的产业协同。</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2025年，公司实现营业总收入44.74亿元。按产品划分的主营业务构成如下表所示（单位：亿元人民币）：</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608"/>
          </w:tcPr>
          <w:p>
            <w:pPr>
              <w:spacing w:lineRule="exact" w:line="600"/>
              <w:jc w:val="center"/>
            </w:pPr>
            <w:r/>
            <w:r>
              <w:rPr>
                <w:rFonts w:ascii="黑体" w:hAnsi="黑体" w:eastAsia="黑体"/>
                <w:b/>
                <w:color w:val="000000"/>
                <w:sz w:val="32"/>
              </w:rPr>
              <w:t>产品类别</w:t>
            </w:r>
          </w:p>
        </w:tc>
        <w:tc>
          <w:tcPr>
            <w:tcW w:type="dxa" w:w="1814"/>
          </w:tcPr>
          <w:p>
            <w:pPr>
              <w:spacing w:lineRule="exact" w:line="600"/>
              <w:jc w:val="center"/>
            </w:pPr>
            <w:r/>
            <w:r>
              <w:rPr>
                <w:rFonts w:ascii="黑体" w:hAnsi="黑体" w:eastAsia="黑体"/>
                <w:b/>
                <w:color w:val="000000"/>
                <w:sz w:val="32"/>
              </w:rPr>
              <w:t>2025年收入</w:t>
            </w:r>
          </w:p>
        </w:tc>
        <w:tc>
          <w:tcPr>
            <w:tcW w:type="dxa" w:w="1474"/>
          </w:tcPr>
          <w:p>
            <w:pPr>
              <w:spacing w:lineRule="exact" w:line="600"/>
              <w:jc w:val="center"/>
            </w:pPr>
            <w:r/>
            <w:r>
              <w:rPr>
                <w:rFonts w:ascii="黑体" w:hAnsi="黑体" w:eastAsia="黑体"/>
                <w:b/>
                <w:color w:val="000000"/>
                <w:sz w:val="32"/>
              </w:rPr>
              <w:t>占比(%)</w:t>
            </w:r>
          </w:p>
        </w:tc>
        <w:tc>
          <w:tcPr>
            <w:tcW w:type="dxa" w:w="1928"/>
          </w:tcPr>
          <w:p>
            <w:pPr>
              <w:spacing w:lineRule="exact" w:line="600"/>
              <w:jc w:val="center"/>
            </w:pPr>
            <w:r/>
            <w:r>
              <w:rPr>
                <w:rFonts w:ascii="黑体" w:hAnsi="黑体" w:eastAsia="黑体"/>
                <w:b/>
                <w:color w:val="000000"/>
                <w:sz w:val="32"/>
              </w:rPr>
              <w:t>2025年毛利率(%)</w:t>
            </w:r>
          </w:p>
        </w:tc>
      </w:tr>
      <w:tr>
        <w:tc>
          <w:tcPr>
            <w:tcW w:type="dxa" w:w="2608"/>
          </w:tcPr>
          <w:p>
            <w:pPr>
              <w:spacing w:lineRule="exact" w:line="600"/>
              <w:jc w:val="center"/>
            </w:pPr>
            <w:r/>
            <w:r>
              <w:rPr>
                <w:rFonts w:ascii="仿宋_GB2312" w:hAnsi="仿宋_GB2312" w:eastAsia="仿宋_GB2312"/>
                <w:b w:val="0"/>
                <w:color w:val="000000"/>
                <w:sz w:val="32"/>
              </w:rPr>
              <w:t>模制瓶系列</w:t>
            </w:r>
          </w:p>
        </w:tc>
        <w:tc>
          <w:tcPr>
            <w:tcW w:type="dxa" w:w="1814"/>
          </w:tcPr>
          <w:p>
            <w:pPr>
              <w:spacing w:lineRule="exact" w:line="600"/>
              <w:jc w:val="center"/>
            </w:pPr>
            <w:r/>
            <w:r>
              <w:rPr>
                <w:rFonts w:ascii="仿宋_GB2312" w:hAnsi="仿宋_GB2312" w:eastAsia="仿宋_GB2312"/>
                <w:b w:val="0"/>
                <w:color w:val="000000"/>
                <w:sz w:val="32"/>
              </w:rPr>
              <w:t>20.33</w:t>
            </w:r>
          </w:p>
        </w:tc>
        <w:tc>
          <w:tcPr>
            <w:tcW w:type="dxa" w:w="1474"/>
          </w:tcPr>
          <w:p>
            <w:pPr>
              <w:spacing w:lineRule="exact" w:line="600"/>
              <w:jc w:val="center"/>
            </w:pPr>
            <w:r/>
            <w:r>
              <w:rPr>
                <w:rFonts w:ascii="仿宋_GB2312" w:hAnsi="仿宋_GB2312" w:eastAsia="仿宋_GB2312"/>
                <w:b w:val="0"/>
                <w:color w:val="000000"/>
                <w:sz w:val="32"/>
              </w:rPr>
              <w:t>45.44</w:t>
            </w:r>
          </w:p>
        </w:tc>
        <w:tc>
          <w:tcPr>
            <w:tcW w:type="dxa" w:w="1928"/>
          </w:tcPr>
          <w:p>
            <w:pPr>
              <w:spacing w:lineRule="exact" w:line="600"/>
              <w:jc w:val="center"/>
            </w:pPr>
            <w:r/>
            <w:r>
              <w:rPr>
                <w:rFonts w:ascii="仿宋_GB2312" w:hAnsi="仿宋_GB2312" w:eastAsia="仿宋_GB2312"/>
                <w:b w:val="0"/>
                <w:color w:val="000000"/>
                <w:sz w:val="32"/>
              </w:rPr>
              <w:t>44.41</w:t>
            </w:r>
          </w:p>
        </w:tc>
      </w:tr>
      <w:tr>
        <w:tc>
          <w:tcPr>
            <w:tcW w:type="dxa" w:w="2608"/>
          </w:tcPr>
          <w:p>
            <w:pPr>
              <w:spacing w:lineRule="exact" w:line="600"/>
              <w:jc w:val="center"/>
            </w:pPr>
            <w:r/>
            <w:r>
              <w:rPr>
                <w:rFonts w:ascii="仿宋_GB2312" w:hAnsi="仿宋_GB2312" w:eastAsia="仿宋_GB2312"/>
                <w:b w:val="0"/>
                <w:color w:val="000000"/>
                <w:sz w:val="32"/>
              </w:rPr>
              <w:t>棕色瓶系列</w:t>
            </w:r>
          </w:p>
        </w:tc>
        <w:tc>
          <w:tcPr>
            <w:tcW w:type="dxa" w:w="1814"/>
          </w:tcPr>
          <w:p>
            <w:pPr>
              <w:spacing w:lineRule="exact" w:line="600"/>
              <w:jc w:val="center"/>
            </w:pPr>
            <w:r/>
            <w:r>
              <w:rPr>
                <w:rFonts w:ascii="仿宋_GB2312" w:hAnsi="仿宋_GB2312" w:eastAsia="仿宋_GB2312"/>
                <w:b w:val="0"/>
                <w:color w:val="000000"/>
                <w:sz w:val="32"/>
              </w:rPr>
              <w:t>10.99</w:t>
            </w:r>
          </w:p>
        </w:tc>
        <w:tc>
          <w:tcPr>
            <w:tcW w:type="dxa" w:w="1474"/>
          </w:tcPr>
          <w:p>
            <w:pPr>
              <w:spacing w:lineRule="exact" w:line="600"/>
              <w:jc w:val="center"/>
            </w:pPr>
            <w:r/>
            <w:r>
              <w:rPr>
                <w:rFonts w:ascii="仿宋_GB2312" w:hAnsi="仿宋_GB2312" w:eastAsia="仿宋_GB2312"/>
                <w:b w:val="0"/>
                <w:color w:val="000000"/>
                <w:sz w:val="32"/>
              </w:rPr>
              <w:t>24.56</w:t>
            </w:r>
          </w:p>
        </w:tc>
        <w:tc>
          <w:tcPr>
            <w:tcW w:type="dxa" w:w="1928"/>
          </w:tcPr>
          <w:p>
            <w:pPr>
              <w:spacing w:lineRule="exact" w:line="600"/>
              <w:jc w:val="center"/>
            </w:pPr>
            <w:r/>
            <w:r>
              <w:rPr>
                <w:rFonts w:ascii="仿宋_GB2312" w:hAnsi="仿宋_GB2312" w:eastAsia="仿宋_GB2312"/>
                <w:b w:val="0"/>
                <w:color w:val="000000"/>
                <w:sz w:val="32"/>
              </w:rPr>
              <w:t>27.14</w:t>
            </w:r>
          </w:p>
        </w:tc>
      </w:tr>
      <w:tr>
        <w:tc>
          <w:tcPr>
            <w:tcW w:type="dxa" w:w="2608"/>
          </w:tcPr>
          <w:p>
            <w:pPr>
              <w:spacing w:lineRule="exact" w:line="600"/>
              <w:jc w:val="center"/>
            </w:pPr>
            <w:r/>
            <w:r>
              <w:rPr>
                <w:rFonts w:ascii="仿宋_GB2312" w:hAnsi="仿宋_GB2312" w:eastAsia="仿宋_GB2312"/>
                <w:b w:val="0"/>
                <w:color w:val="000000"/>
                <w:sz w:val="32"/>
              </w:rPr>
              <w:t>丁基胶塞系列</w:t>
            </w:r>
          </w:p>
        </w:tc>
        <w:tc>
          <w:tcPr>
            <w:tcW w:type="dxa" w:w="1814"/>
          </w:tcPr>
          <w:p>
            <w:pPr>
              <w:spacing w:lineRule="exact" w:line="600"/>
              <w:jc w:val="center"/>
            </w:pPr>
            <w:r/>
            <w:r>
              <w:rPr>
                <w:rFonts w:ascii="仿宋_GB2312" w:hAnsi="仿宋_GB2312" w:eastAsia="仿宋_GB2312"/>
                <w:b w:val="0"/>
                <w:color w:val="000000"/>
                <w:sz w:val="32"/>
              </w:rPr>
              <w:t>2.45</w:t>
            </w:r>
          </w:p>
        </w:tc>
        <w:tc>
          <w:tcPr>
            <w:tcW w:type="dxa" w:w="1474"/>
          </w:tcPr>
          <w:p>
            <w:pPr>
              <w:spacing w:lineRule="exact" w:line="600"/>
              <w:jc w:val="center"/>
            </w:pPr>
            <w:r/>
            <w:r>
              <w:rPr>
                <w:rFonts w:ascii="仿宋_GB2312" w:hAnsi="仿宋_GB2312" w:eastAsia="仿宋_GB2312"/>
                <w:b w:val="0"/>
                <w:color w:val="000000"/>
                <w:sz w:val="32"/>
              </w:rPr>
              <w:t>5.47</w:t>
            </w:r>
          </w:p>
        </w:tc>
        <w:tc>
          <w:tcPr>
            <w:tcW w:type="dxa" w:w="1928"/>
          </w:tcPr>
          <w:p>
            <w:pPr>
              <w:spacing w:lineRule="exact" w:line="600"/>
              <w:jc w:val="center"/>
            </w:pPr>
            <w:r/>
            <w:r>
              <w:rPr>
                <w:rFonts w:ascii="仿宋_GB2312" w:hAnsi="仿宋_GB2312" w:eastAsia="仿宋_GB2312"/>
                <w:b w:val="0"/>
                <w:color w:val="000000"/>
                <w:sz w:val="32"/>
              </w:rPr>
              <w:t>39.73</w:t>
            </w:r>
          </w:p>
        </w:tc>
      </w:tr>
      <w:tr>
        <w:tc>
          <w:tcPr>
            <w:tcW w:type="dxa" w:w="2608"/>
          </w:tcPr>
          <w:p>
            <w:pPr>
              <w:spacing w:lineRule="exact" w:line="600"/>
              <w:jc w:val="center"/>
            </w:pPr>
            <w:r/>
            <w:r>
              <w:rPr>
                <w:rFonts w:ascii="仿宋_GB2312" w:hAnsi="仿宋_GB2312" w:eastAsia="仿宋_GB2312"/>
                <w:b w:val="0"/>
                <w:color w:val="000000"/>
                <w:sz w:val="32"/>
              </w:rPr>
              <w:t>管制瓶</w:t>
            </w:r>
          </w:p>
        </w:tc>
        <w:tc>
          <w:tcPr>
            <w:tcW w:type="dxa" w:w="1814"/>
          </w:tcPr>
          <w:p>
            <w:pPr>
              <w:spacing w:lineRule="exact" w:line="600"/>
              <w:jc w:val="center"/>
            </w:pPr>
            <w:r/>
            <w:r>
              <w:rPr>
                <w:rFonts w:ascii="仿宋_GB2312" w:hAnsi="仿宋_GB2312" w:eastAsia="仿宋_GB2312"/>
                <w:b w:val="0"/>
                <w:color w:val="000000"/>
                <w:sz w:val="32"/>
              </w:rPr>
              <w:t>1.90</w:t>
            </w:r>
          </w:p>
        </w:tc>
        <w:tc>
          <w:tcPr>
            <w:tcW w:type="dxa" w:w="1474"/>
          </w:tcPr>
          <w:p>
            <w:pPr>
              <w:spacing w:lineRule="exact" w:line="600"/>
              <w:jc w:val="center"/>
            </w:pPr>
            <w:r/>
            <w:r>
              <w:rPr>
                <w:rFonts w:ascii="仿宋_GB2312" w:hAnsi="仿宋_GB2312" w:eastAsia="仿宋_GB2312"/>
                <w:b w:val="0"/>
                <w:color w:val="000000"/>
                <w:sz w:val="32"/>
              </w:rPr>
              <w:t>4.24</w:t>
            </w:r>
          </w:p>
        </w:tc>
        <w:tc>
          <w:tcPr>
            <w:tcW w:type="dxa" w:w="1928"/>
          </w:tcPr>
          <w:p>
            <w:pPr>
              <w:spacing w:lineRule="exact" w:line="600"/>
              <w:jc w:val="center"/>
            </w:pPr>
            <w:r/>
            <w:r>
              <w:rPr>
                <w:rFonts w:ascii="仿宋_GB2312" w:hAnsi="仿宋_GB2312" w:eastAsia="仿宋_GB2312"/>
                <w:b w:val="0"/>
                <w:color w:val="000000"/>
                <w:sz w:val="32"/>
              </w:rPr>
              <w:t>1.70</w:t>
            </w:r>
          </w:p>
        </w:tc>
      </w:tr>
      <w:tr>
        <w:tc>
          <w:tcPr>
            <w:tcW w:type="dxa" w:w="2608"/>
          </w:tcPr>
          <w:p>
            <w:pPr>
              <w:spacing w:lineRule="exact" w:line="600"/>
              <w:jc w:val="center"/>
            </w:pPr>
            <w:r/>
            <w:r>
              <w:rPr>
                <w:rFonts w:ascii="仿宋_GB2312" w:hAnsi="仿宋_GB2312" w:eastAsia="仿宋_GB2312"/>
                <w:b w:val="0"/>
                <w:color w:val="000000"/>
                <w:sz w:val="32"/>
              </w:rPr>
              <w:t>铝塑盖塑料瓶系列</w:t>
            </w:r>
          </w:p>
        </w:tc>
        <w:tc>
          <w:tcPr>
            <w:tcW w:type="dxa" w:w="1814"/>
          </w:tcPr>
          <w:p>
            <w:pPr>
              <w:spacing w:lineRule="exact" w:line="600"/>
              <w:jc w:val="center"/>
            </w:pPr>
            <w:r/>
            <w:r>
              <w:rPr>
                <w:rFonts w:ascii="仿宋_GB2312" w:hAnsi="仿宋_GB2312" w:eastAsia="仿宋_GB2312"/>
                <w:b w:val="0"/>
                <w:color w:val="000000"/>
                <w:sz w:val="32"/>
              </w:rPr>
              <w:t>0.57</w:t>
            </w:r>
          </w:p>
        </w:tc>
        <w:tc>
          <w:tcPr>
            <w:tcW w:type="dxa" w:w="1474"/>
          </w:tcPr>
          <w:p>
            <w:pPr>
              <w:spacing w:lineRule="exact" w:line="600"/>
              <w:jc w:val="center"/>
            </w:pPr>
            <w:r/>
            <w:r>
              <w:rPr>
                <w:rFonts w:ascii="仿宋_GB2312" w:hAnsi="仿宋_GB2312" w:eastAsia="仿宋_GB2312"/>
                <w:b w:val="0"/>
                <w:color w:val="000000"/>
                <w:sz w:val="32"/>
              </w:rPr>
              <w:t>1.27</w:t>
            </w:r>
          </w:p>
        </w:tc>
        <w:tc>
          <w:tcPr>
            <w:tcW w:type="dxa" w:w="1928"/>
          </w:tcPr>
          <w:p>
            <w:pPr>
              <w:spacing w:lineRule="exact" w:line="600"/>
              <w:jc w:val="center"/>
            </w:pPr>
            <w:r/>
            <w:r>
              <w:rPr>
                <w:rFonts w:ascii="仿宋_GB2312" w:hAnsi="仿宋_GB2312" w:eastAsia="仿宋_GB2312"/>
                <w:b w:val="0"/>
                <w:color w:val="000000"/>
                <w:sz w:val="32"/>
              </w:rPr>
              <w:t>—</w:t>
            </w:r>
          </w:p>
        </w:tc>
      </w:tr>
      <w:tr>
        <w:tc>
          <w:tcPr>
            <w:tcW w:type="dxa" w:w="2608"/>
          </w:tcPr>
          <w:p>
            <w:pPr>
              <w:spacing w:lineRule="exact" w:line="600"/>
              <w:jc w:val="center"/>
            </w:pPr>
            <w:r/>
            <w:r>
              <w:rPr>
                <w:rFonts w:ascii="仿宋_GB2312" w:hAnsi="仿宋_GB2312" w:eastAsia="仿宋_GB2312"/>
                <w:b w:val="0"/>
                <w:color w:val="000000"/>
                <w:sz w:val="32"/>
              </w:rPr>
              <w:t>安瓿瓶</w:t>
            </w:r>
          </w:p>
        </w:tc>
        <w:tc>
          <w:tcPr>
            <w:tcW w:type="dxa" w:w="1814"/>
          </w:tcPr>
          <w:p>
            <w:pPr>
              <w:spacing w:lineRule="exact" w:line="600"/>
              <w:jc w:val="center"/>
            </w:pPr>
            <w:r/>
            <w:r>
              <w:rPr>
                <w:rFonts w:ascii="仿宋_GB2312" w:hAnsi="仿宋_GB2312" w:eastAsia="仿宋_GB2312"/>
                <w:b w:val="0"/>
                <w:color w:val="000000"/>
                <w:sz w:val="32"/>
              </w:rPr>
              <w:t>0.55</w:t>
            </w:r>
          </w:p>
        </w:tc>
        <w:tc>
          <w:tcPr>
            <w:tcW w:type="dxa" w:w="1474"/>
          </w:tcPr>
          <w:p>
            <w:pPr>
              <w:spacing w:lineRule="exact" w:line="600"/>
              <w:jc w:val="center"/>
            </w:pPr>
            <w:r/>
            <w:r>
              <w:rPr>
                <w:rFonts w:ascii="仿宋_GB2312" w:hAnsi="仿宋_GB2312" w:eastAsia="仿宋_GB2312"/>
                <w:b w:val="0"/>
                <w:color w:val="000000"/>
                <w:sz w:val="32"/>
              </w:rPr>
              <w:t>1.23</w:t>
            </w:r>
          </w:p>
        </w:tc>
        <w:tc>
          <w:tcPr>
            <w:tcW w:type="dxa" w:w="1928"/>
          </w:tcPr>
          <w:p>
            <w:pPr>
              <w:spacing w:lineRule="exact" w:line="600"/>
              <w:jc w:val="center"/>
            </w:pPr>
            <w:r/>
            <w:r>
              <w:rPr>
                <w:rFonts w:ascii="仿宋_GB2312" w:hAnsi="仿宋_GB2312" w:eastAsia="仿宋_GB2312"/>
                <w:b w:val="0"/>
                <w:color w:val="000000"/>
                <w:sz w:val="32"/>
              </w:rPr>
              <w:t>—</w:t>
            </w:r>
          </w:p>
        </w:tc>
      </w:tr>
      <w:tr>
        <w:tc>
          <w:tcPr>
            <w:tcW w:type="dxa" w:w="2608"/>
          </w:tcPr>
          <w:p>
            <w:pPr>
              <w:spacing w:lineRule="exact" w:line="600"/>
              <w:jc w:val="center"/>
            </w:pPr>
            <w:r/>
            <w:r>
              <w:rPr>
                <w:rFonts w:ascii="仿宋_GB2312" w:hAnsi="仿宋_GB2312" w:eastAsia="仿宋_GB2312"/>
                <w:b w:val="0"/>
                <w:color w:val="000000"/>
                <w:sz w:val="32"/>
              </w:rPr>
              <w:t>商业贸易</w:t>
            </w:r>
          </w:p>
        </w:tc>
        <w:tc>
          <w:tcPr>
            <w:tcW w:type="dxa" w:w="1814"/>
          </w:tcPr>
          <w:p>
            <w:pPr>
              <w:spacing w:lineRule="exact" w:line="600"/>
              <w:jc w:val="center"/>
            </w:pPr>
            <w:r/>
            <w:r>
              <w:rPr>
                <w:rFonts w:ascii="仿宋_GB2312" w:hAnsi="仿宋_GB2312" w:eastAsia="仿宋_GB2312"/>
                <w:b w:val="0"/>
                <w:color w:val="000000"/>
                <w:sz w:val="32"/>
              </w:rPr>
              <w:t>1.85</w:t>
            </w:r>
          </w:p>
        </w:tc>
        <w:tc>
          <w:tcPr>
            <w:tcW w:type="dxa" w:w="1474"/>
          </w:tcPr>
          <w:p>
            <w:pPr>
              <w:spacing w:lineRule="exact" w:line="600"/>
              <w:jc w:val="center"/>
            </w:pPr>
            <w:r/>
            <w:r>
              <w:rPr>
                <w:rFonts w:ascii="仿宋_GB2312" w:hAnsi="仿宋_GB2312" w:eastAsia="仿宋_GB2312"/>
                <w:b w:val="0"/>
                <w:color w:val="000000"/>
                <w:sz w:val="32"/>
              </w:rPr>
              <w:t>4.14</w:t>
            </w:r>
          </w:p>
        </w:tc>
        <w:tc>
          <w:tcPr>
            <w:tcW w:type="dxa" w:w="1928"/>
          </w:tcPr>
          <w:p>
            <w:pPr>
              <w:spacing w:lineRule="exact" w:line="600"/>
              <w:jc w:val="center"/>
            </w:pPr>
            <w:r/>
            <w:r>
              <w:rPr>
                <w:rFonts w:ascii="仿宋_GB2312" w:hAnsi="仿宋_GB2312" w:eastAsia="仿宋_GB2312"/>
                <w:b w:val="0"/>
                <w:color w:val="000000"/>
                <w:sz w:val="32"/>
              </w:rPr>
              <w:t>—</w:t>
            </w:r>
          </w:p>
        </w:tc>
      </w:tr>
      <w:tr>
        <w:tc>
          <w:tcPr>
            <w:tcW w:type="dxa" w:w="2608"/>
          </w:tcPr>
          <w:p>
            <w:pPr>
              <w:spacing w:lineRule="exact" w:line="600"/>
              <w:jc w:val="center"/>
            </w:pPr>
            <w:r/>
            <w:r>
              <w:rPr>
                <w:rFonts w:ascii="仿宋_GB2312" w:hAnsi="仿宋_GB2312" w:eastAsia="仿宋_GB2312"/>
                <w:b w:val="0"/>
                <w:color w:val="000000"/>
                <w:sz w:val="32"/>
              </w:rPr>
              <w:t>其他</w:t>
            </w:r>
          </w:p>
        </w:tc>
        <w:tc>
          <w:tcPr>
            <w:tcW w:type="dxa" w:w="1814"/>
          </w:tcPr>
          <w:p>
            <w:pPr>
              <w:spacing w:lineRule="exact" w:line="600"/>
              <w:jc w:val="center"/>
            </w:pPr>
            <w:r/>
            <w:r>
              <w:rPr>
                <w:rFonts w:ascii="仿宋_GB2312" w:hAnsi="仿宋_GB2312" w:eastAsia="仿宋_GB2312"/>
                <w:b w:val="0"/>
                <w:color w:val="000000"/>
                <w:sz w:val="32"/>
              </w:rPr>
              <w:t>6.10</w:t>
            </w:r>
          </w:p>
        </w:tc>
        <w:tc>
          <w:tcPr>
            <w:tcW w:type="dxa" w:w="1474"/>
          </w:tcPr>
          <w:p>
            <w:pPr>
              <w:spacing w:lineRule="exact" w:line="600"/>
              <w:jc w:val="center"/>
            </w:pPr>
            <w:r/>
            <w:r>
              <w:rPr>
                <w:rFonts w:ascii="仿宋_GB2312" w:hAnsi="仿宋_GB2312" w:eastAsia="仿宋_GB2312"/>
                <w:b w:val="0"/>
                <w:color w:val="000000"/>
                <w:sz w:val="32"/>
              </w:rPr>
              <w:t>13.65</w:t>
            </w:r>
          </w:p>
        </w:tc>
        <w:tc>
          <w:tcPr>
            <w:tcW w:type="dxa" w:w="1928"/>
          </w:tcPr>
          <w:p>
            <w:pPr>
              <w:spacing w:lineRule="exact" w:line="600"/>
              <w:jc w:val="center"/>
            </w:pPr>
            <w:r/>
            <w:r>
              <w:rPr>
                <w:rFonts w:ascii="仿宋_GB2312" w:hAnsi="仿宋_GB2312" w:eastAsia="仿宋_GB2312"/>
                <w:b w:val="0"/>
                <w:color w:val="000000"/>
                <w:sz w:val="32"/>
              </w:rPr>
              <w:t>—</w:t>
            </w:r>
          </w:p>
        </w:tc>
      </w:tr>
    </w:tbl>
    <w:p>
      <w:pPr>
        <w:spacing w:lineRule="exact" w:line="600" w:before="0" w:after="0"/>
        <w:ind w:firstLine="420"/>
        <w:jc w:val="both"/>
      </w:pPr>
      <w:r>
        <w:rPr>
          <w:rFonts w:ascii="仿宋_GB2312" w:hAnsi="仿宋_GB2312" w:eastAsia="仿宋_GB2312"/>
          <w:b w:val="0"/>
          <w:color w:val="000000"/>
          <w:sz w:val="32"/>
        </w:rPr>
        <w:t>结构特征十分鲜明：模制瓶系列以45.44%的收入占比和44.41%的高毛利率，构成公司利润的绝对核心；棕色瓶系列为第二大板块，毛利率27.14%；丁基胶塞系列虽规模不大（2.45亿元），但毛利率高达39.73%，是重要的利润补充；管制瓶收入1.90亿元、毛利率仅1.70%，基本处于盈亏平衡状态，反映公司在管制瓶（拉管法）细分领域的竞争力弱于模制瓶（模制法）。</w:t>
      </w:r>
    </w:p>
    <w:p>
      <w:pPr>
        <w:spacing w:lineRule="exact" w:line="600" w:before="0" w:after="0"/>
        <w:ind w:firstLine="420"/>
        <w:jc w:val="both"/>
      </w:pPr>
      <w:r>
        <w:rPr>
          <w:rFonts w:ascii="仿宋_GB2312" w:hAnsi="仿宋_GB2312" w:eastAsia="仿宋_GB2312"/>
          <w:b w:val="0"/>
          <w:color w:val="000000"/>
          <w:sz w:val="32"/>
        </w:rPr>
        <w:t>按地区划分，2025年国内收入29.13亿元，占比65.10%；国外收入15.02亿元，占比33.56%，海外收入同比增长1.98%。在国内需求下滑的背景下，海外市场逆势正增长，成为公司经营中的重要亮点，也体现出中硼硅玻璃产品在国际市场的竞争力。</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模制瓶系列是公司的旗舰产品线，覆盖钠钙玻璃与中硼硅玻璃两大材质、注射剂瓶与输液瓶两大用途，并延伸至化妆品瓶、食品包装瓶等非药用领域。2025年该系列实现收入20.33亿元，同比减少13.59%，但营业成本同比减少15.34%，成本降幅大于收入降幅，使毛利率提升1.15个百分点至44.41%，显示公司在核心产品上具备较强的成本管控能力与定价韧性。</w:t>
      </w:r>
    </w:p>
    <w:p>
      <w:pPr>
        <w:spacing w:lineRule="exact" w:line="600" w:before="0" w:after="0"/>
        <w:ind w:firstLine="420"/>
        <w:jc w:val="both"/>
      </w:pPr>
      <w:r>
        <w:rPr>
          <w:rFonts w:ascii="仿宋_GB2312" w:hAnsi="仿宋_GB2312" w:eastAsia="仿宋_GB2312"/>
          <w:b w:val="0"/>
          <w:color w:val="000000"/>
          <w:sz w:val="32"/>
        </w:rPr>
        <w:t>棕色瓶系列2025年实现收入10.99亿元，同比下降5.03%，毛利率27.14%。棕色瓶主要用于避光要求较高的口服固体与液体制剂，市场需求相对稳定。</w:t>
      </w:r>
    </w:p>
    <w:p>
      <w:pPr>
        <w:spacing w:lineRule="exact" w:line="600" w:before="0" w:after="0"/>
        <w:ind w:firstLine="420"/>
        <w:jc w:val="both"/>
      </w:pPr>
      <w:r>
        <w:rPr>
          <w:rFonts w:ascii="仿宋_GB2312" w:hAnsi="仿宋_GB2312" w:eastAsia="仿宋_GB2312"/>
          <w:b w:val="0"/>
          <w:color w:val="000000"/>
          <w:sz w:val="32"/>
        </w:rPr>
        <w:t>配套产品方面，丁基胶塞系列2025年收入2.45亿元，同比下降14.44%，毛利率39.73%；铝塑盖塑料瓶系列收入5,677.26万元，是六个主营产品中唯一实现同比正增长的品类，增幅1.52%。胶塞与铝塑盖与玻璃瓶配套销售，构成"瓶—塞—盖"一体化包装解决方案，提升客户黏性。</w:t>
      </w:r>
    </w:p>
    <w:p>
      <w:pPr>
        <w:spacing w:lineRule="exact" w:line="600" w:before="0" w:after="0"/>
        <w:ind w:firstLine="420"/>
        <w:jc w:val="both"/>
      </w:pPr>
      <w:r>
        <w:rPr>
          <w:rFonts w:ascii="仿宋_GB2312" w:hAnsi="仿宋_GB2312" w:eastAsia="仿宋_GB2312"/>
          <w:b w:val="0"/>
          <w:color w:val="000000"/>
          <w:sz w:val="32"/>
        </w:rPr>
        <w:t>弱势品类方面，管制瓶2025年收入1.90亿元，同比下降11.57%，毛利率仅1.70%；安瓿瓶收入0.55亿元，同比下滑19.64%，是所有品类中降幅最大的产品。这两类产品技术门槛相对较低、竞争充分，公司的规模优势难以充分发挥。</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2025年，公司前五大客户合计销售金额5.81亿元，占总销售金额比例为13.17%，客户集中度低，无单一客户依赖风险。公司客户主体为国内外制药企业，包括化学制剂企业、生物制品与疫苗企业、中成药企业等；海外客户则涵盖欧美、亚洲等地区的制药与包装贸易商。</w:t>
      </w:r>
    </w:p>
    <w:p>
      <w:pPr>
        <w:spacing w:lineRule="exact" w:line="600" w:before="0" w:after="0"/>
        <w:ind w:firstLine="420"/>
        <w:jc w:val="both"/>
      </w:pPr>
      <w:r>
        <w:rPr>
          <w:rFonts w:ascii="仿宋_GB2312" w:hAnsi="仿宋_GB2312" w:eastAsia="仿宋_GB2312"/>
          <w:b w:val="0"/>
          <w:color w:val="000000"/>
          <w:sz w:val="32"/>
        </w:rPr>
        <w:t>客户结构的低集中度是药包材行业的普遍特征，也意味着公司的收入稳定性高度依赖下游医药行业的整体景气度。公司总经理张军在2026年3月的业绩说明会上表示，公司主营产品2025年营收下滑，主要是受国内制药企业需求下降影响，这一表述直接印证了公司业绩与下游行业周期的强相关性。</w:t>
      </w:r>
    </w:p>
    <w:p>
      <w:pPr>
        <w:spacing w:lineRule="exact" w:line="600" w:before="0" w:after="0"/>
        <w:ind w:firstLine="420"/>
        <w:jc w:val="both"/>
      </w:pPr>
      <w:r>
        <w:rPr>
          <w:rFonts w:ascii="仿宋_GB2312" w:hAnsi="仿宋_GB2312" w:eastAsia="仿宋_GB2312"/>
          <w:b w:val="0"/>
          <w:color w:val="000000"/>
          <w:sz w:val="32"/>
        </w:rPr>
        <w:t>值得关注的是，药包材通过"关联审评审批"与制剂绑定，一旦客户在药品注册时选定了包材供应商，切换成本较高，这为公司提供了较强的客户黏性与准入壁垒。</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2025年，公司前五名供应商合计采购金额9.40亿元，占年度采购总额比例为30.72%，采购集中度明显高于销售集中度（13.17%）。这一"下游分散、上游集中"的格局，意味着公司在采购端的议价能力相对较弱。</w:t>
      </w:r>
    </w:p>
    <w:p>
      <w:pPr>
        <w:spacing w:lineRule="exact" w:line="600" w:before="0" w:after="0"/>
        <w:ind w:firstLine="420"/>
        <w:jc w:val="both"/>
      </w:pPr>
      <w:r>
        <w:rPr>
          <w:rFonts w:ascii="仿宋_GB2312" w:hAnsi="仿宋_GB2312" w:eastAsia="仿宋_GB2312"/>
          <w:b w:val="0"/>
          <w:color w:val="000000"/>
          <w:sz w:val="32"/>
        </w:rPr>
        <w:t>公司主要原材料包括纯碱、石英砂、硼砂/硼酸（中硼硅玻璃必需）、丁基胶（胶塞）、铝材与塑料粒子（铝塑盖）等，主要能源为天然气与电力。玻璃窑炉是典型的高耗能连续生产装置，能源成本在制造成本中占比较高，天然气价格波动对毛利率的影响显著。</w:t>
      </w:r>
    </w:p>
    <w:p>
      <w:pPr>
        <w:spacing w:lineRule="exact" w:line="600" w:before="0" w:after="0"/>
        <w:ind w:firstLine="420"/>
        <w:jc w:val="both"/>
      </w:pPr>
      <w:r>
        <w:rPr>
          <w:rFonts w:ascii="仿宋_GB2312" w:hAnsi="仿宋_GB2312" w:eastAsia="仿宋_GB2312"/>
          <w:b w:val="0"/>
          <w:color w:val="000000"/>
          <w:sz w:val="32"/>
        </w:rPr>
        <w:t>2025年公司在收入下降8.78%的情况下，综合毛利率仍微升0.16个百分点至33.31%，反映公司在原材料与能源成本管控方面取得一定成效，与"降成本促增长"的年度经营方针相呼应。</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公司核心生产资产为玻璃熔窑。据公司总经理张军在2026年3月业绩说明会上的说明，制造产品使用的玻璃窑炉有一定的使用周期，期间需连续生产，公司根据窑炉大修计划控制产能，实现产销平衡。这一表述揭示了公司产能管理的核心逻辑：窑炉不能随意停开，因此产量调节主要通过大修周期安排实现，短期产能弹性有限。</w:t>
      </w:r>
    </w:p>
    <w:p>
      <w:pPr>
        <w:spacing w:lineRule="exact" w:line="600" w:before="0" w:after="0"/>
        <w:ind w:firstLine="420"/>
        <w:jc w:val="both"/>
      </w:pPr>
      <w:r>
        <w:rPr>
          <w:rFonts w:ascii="仿宋_GB2312" w:hAnsi="仿宋_GB2312" w:eastAsia="仿宋_GB2312"/>
          <w:b w:val="0"/>
          <w:color w:val="000000"/>
          <w:sz w:val="32"/>
        </w:rPr>
        <w:t>固定资产方面，玻璃窑炉的建设与冷修均需大额资本开支，构成行业的重资产特征与进入壁垒。截至2025年末，公司总资产100.44亿元，归母净资产82.95亿元，资产规模在药包材行业中居于首位。</w:t>
      </w:r>
    </w:p>
    <w:p>
      <w:pPr>
        <w:spacing w:lineRule="exact" w:line="600" w:before="0" w:after="0"/>
        <w:ind w:firstLine="420"/>
        <w:jc w:val="both"/>
      </w:pPr>
      <w:r>
        <w:rPr>
          <w:rFonts w:ascii="仿宋_GB2312" w:hAnsi="仿宋_GB2312" w:eastAsia="仿宋_GB2312"/>
          <w:b w:val="0"/>
          <w:color w:val="000000"/>
          <w:sz w:val="32"/>
        </w:rPr>
        <w:t>牌照与资质方面，药用玻璃属于直接接触药品的包装材料和容器，实行与药品注册的关联审评审批管理，须符合《直接接触药品的包装材料和容器管理办法》及相应国家药包材标准。出口业务还需满足目的国的药包材法规与客户审计要求。公司具体的产能数量、窑炉条数与在建产能明细未在年报中以统一口径完整披露，本报告不作数量推测。</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公司采取"直销为主"的销售模式，直接对接制药企业的采购与质量部门。由于药包材需要通过客户的供应商审计与关联审评，销售过程实质上是长周期的技术与质量对接过程，而非简单的商品交易。</w:t>
      </w:r>
    </w:p>
    <w:p>
      <w:pPr>
        <w:spacing w:lineRule="exact" w:line="600" w:before="0" w:after="0"/>
        <w:ind w:firstLine="420"/>
        <w:jc w:val="both"/>
      </w:pPr>
      <w:r>
        <w:rPr>
          <w:rFonts w:ascii="仿宋_GB2312" w:hAnsi="仿宋_GB2312" w:eastAsia="仿宋_GB2312"/>
          <w:b w:val="0"/>
          <w:color w:val="000000"/>
          <w:sz w:val="32"/>
        </w:rPr>
        <w:t>国内渠道方面，公司覆盖全国主要制药产业集聚区，2025年国内收入29.13亿元，占比65.10%，但受国内制药企业需求下降影响出现下滑。海外渠道方面，2025年国外收入15.02亿元、占比33.56%、同比增长1.98%，海外收入占比超过三分之一，在国内药包材同业中处于领先水平。若国药集团入主完成，公司有望借助央企的全球网络进一步拓展海外布局。</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公司是国内药用玻璃行业的龙头企业之一，在模制瓶细分领域具有主导地位。2025年公司实现营业总收入44.74亿元、归母净利润6.90亿元，收入与利润规模均居国内药包材行业前列。</w:t>
      </w:r>
    </w:p>
    <w:p>
      <w:pPr>
        <w:spacing w:lineRule="exact" w:line="600" w:before="0" w:after="0"/>
        <w:ind w:firstLine="420"/>
        <w:jc w:val="both"/>
      </w:pPr>
      <w:r>
        <w:rPr>
          <w:rFonts w:ascii="仿宋_GB2312" w:hAnsi="仿宋_GB2312" w:eastAsia="仿宋_GB2312"/>
          <w:b w:val="0"/>
          <w:color w:val="000000"/>
          <w:sz w:val="32"/>
        </w:rPr>
        <w:t>人均效率方面，截至2025年末公司员工总数为6,775人，同比减少4.79%；人均创收66.04万元，同比下降4.19%；人均创利10.18万元，同比下降23.19%；人均薪酬12.42万元，同比增长13.67%。人均薪酬上升而人均创利下降，反映公司在业绩下行期仍保持了对员工的薪酬投入，但同时也加大了人工成本压力。</w:t>
      </w:r>
    </w:p>
    <w:p>
      <w:pPr>
        <w:spacing w:lineRule="exact" w:line="600" w:before="0" w:after="0"/>
        <w:ind w:firstLine="420"/>
        <w:jc w:val="both"/>
      </w:pPr>
      <w:r>
        <w:rPr>
          <w:rFonts w:ascii="仿宋_GB2312" w:hAnsi="仿宋_GB2312" w:eastAsia="仿宋_GB2312"/>
          <w:b w:val="0"/>
          <w:color w:val="000000"/>
          <w:sz w:val="32"/>
        </w:rPr>
        <w:t>公司未在定期报告中披露具体市场占有率数值，本报告不作量化推测。从定性判断，公司在国内中硼硅模制注射剂瓶领域的份额领先，是国产替代进口药包材的主要承担者之一。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下表列示公司2023—2025年经审计的主要会计数据（单位：亿元人民币，收入为会计差错更正后口径）：</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608"/>
          </w:tcPr>
          <w:p>
            <w:pPr>
              <w:spacing w:lineRule="exact" w:line="600"/>
              <w:jc w:val="center"/>
            </w:pPr>
            <w:r/>
            <w:r>
              <w:rPr>
                <w:rFonts w:ascii="黑体" w:hAnsi="黑体" w:eastAsia="黑体"/>
                <w:b/>
                <w:color w:val="000000"/>
                <w:sz w:val="32"/>
              </w:rPr>
              <w:t>项目</w:t>
            </w:r>
          </w:p>
        </w:tc>
        <w:tc>
          <w:tcPr>
            <w:tcW w:type="dxa" w:w="1701"/>
          </w:tcPr>
          <w:p>
            <w:pPr>
              <w:spacing w:lineRule="exact" w:line="600"/>
              <w:jc w:val="center"/>
            </w:pPr>
            <w:r/>
            <w:r>
              <w:rPr>
                <w:rFonts w:ascii="黑体" w:hAnsi="黑体" w:eastAsia="黑体"/>
                <w:b/>
                <w:color w:val="000000"/>
                <w:sz w:val="32"/>
              </w:rPr>
              <w:t>2025年</w:t>
            </w:r>
          </w:p>
        </w:tc>
        <w:tc>
          <w:tcPr>
            <w:tcW w:type="dxa" w:w="1701"/>
          </w:tcPr>
          <w:p>
            <w:pPr>
              <w:spacing w:lineRule="exact" w:line="600"/>
              <w:jc w:val="center"/>
            </w:pPr>
            <w:r/>
            <w:r>
              <w:rPr>
                <w:rFonts w:ascii="黑体" w:hAnsi="黑体" w:eastAsia="黑体"/>
                <w:b/>
                <w:color w:val="000000"/>
                <w:sz w:val="32"/>
              </w:rPr>
              <w:t>2024年</w:t>
            </w:r>
          </w:p>
        </w:tc>
        <w:tc>
          <w:tcPr>
            <w:tcW w:type="dxa" w:w="1701"/>
          </w:tcPr>
          <w:p>
            <w:pPr>
              <w:spacing w:lineRule="exact" w:line="600"/>
              <w:jc w:val="center"/>
            </w:pPr>
            <w:r/>
            <w:r>
              <w:rPr>
                <w:rFonts w:ascii="黑体" w:hAnsi="黑体" w:eastAsia="黑体"/>
                <w:b/>
                <w:color w:val="000000"/>
                <w:sz w:val="32"/>
              </w:rPr>
              <w:t>2023年</w:t>
            </w:r>
          </w:p>
        </w:tc>
      </w:tr>
      <w:tr>
        <w:tc>
          <w:tcPr>
            <w:tcW w:type="dxa" w:w="2608"/>
          </w:tcPr>
          <w:p>
            <w:pPr>
              <w:spacing w:lineRule="exact" w:line="600"/>
              <w:jc w:val="center"/>
            </w:pPr>
            <w:r/>
            <w:r>
              <w:rPr>
                <w:rFonts w:ascii="仿宋_GB2312" w:hAnsi="仿宋_GB2312" w:eastAsia="仿宋_GB2312"/>
                <w:b w:val="0"/>
                <w:color w:val="000000"/>
                <w:sz w:val="32"/>
              </w:rPr>
              <w:t>营业收入</w:t>
            </w:r>
          </w:p>
        </w:tc>
        <w:tc>
          <w:tcPr>
            <w:tcW w:type="dxa" w:w="1701"/>
          </w:tcPr>
          <w:p>
            <w:pPr>
              <w:spacing w:lineRule="exact" w:line="600"/>
              <w:jc w:val="center"/>
            </w:pPr>
            <w:r/>
            <w:r>
              <w:rPr>
                <w:rFonts w:ascii="仿宋_GB2312" w:hAnsi="仿宋_GB2312" w:eastAsia="仿宋_GB2312"/>
                <w:b w:val="0"/>
                <w:color w:val="000000"/>
                <w:sz w:val="32"/>
              </w:rPr>
              <w:t>44.74</w:t>
            </w:r>
          </w:p>
        </w:tc>
        <w:tc>
          <w:tcPr>
            <w:tcW w:type="dxa" w:w="1701"/>
          </w:tcPr>
          <w:p>
            <w:pPr>
              <w:spacing w:lineRule="exact" w:line="600"/>
              <w:jc w:val="center"/>
            </w:pPr>
            <w:r/>
            <w:r>
              <w:rPr>
                <w:rFonts w:ascii="仿宋_GB2312" w:hAnsi="仿宋_GB2312" w:eastAsia="仿宋_GB2312"/>
                <w:b w:val="0"/>
                <w:color w:val="000000"/>
                <w:sz w:val="32"/>
              </w:rPr>
              <w:t>49.05</w:t>
            </w:r>
          </w:p>
        </w:tc>
        <w:tc>
          <w:tcPr>
            <w:tcW w:type="dxa" w:w="1701"/>
          </w:tcPr>
          <w:p>
            <w:pPr>
              <w:spacing w:lineRule="exact" w:line="600"/>
              <w:jc w:val="center"/>
            </w:pPr>
            <w:r/>
            <w:r>
              <w:rPr>
                <w:rFonts w:ascii="仿宋_GB2312" w:hAnsi="仿宋_GB2312" w:eastAsia="仿宋_GB2312"/>
                <w:b w:val="0"/>
                <w:color w:val="000000"/>
                <w:sz w:val="32"/>
              </w:rPr>
              <w:t>47.71</w:t>
            </w:r>
          </w:p>
        </w:tc>
      </w:tr>
      <w:tr>
        <w:tc>
          <w:tcPr>
            <w:tcW w:type="dxa" w:w="2608"/>
          </w:tcPr>
          <w:p>
            <w:pPr>
              <w:spacing w:lineRule="exact" w:line="600"/>
              <w:jc w:val="center"/>
            </w:pPr>
            <w:r/>
            <w:r>
              <w:rPr>
                <w:rFonts w:ascii="仿宋_GB2312" w:hAnsi="仿宋_GB2312" w:eastAsia="仿宋_GB2312"/>
                <w:b w:val="0"/>
                <w:color w:val="000000"/>
                <w:sz w:val="32"/>
              </w:rPr>
              <w:t>利润总额</w:t>
            </w:r>
          </w:p>
        </w:tc>
        <w:tc>
          <w:tcPr>
            <w:tcW w:type="dxa" w:w="1701"/>
          </w:tcPr>
          <w:p>
            <w:pPr>
              <w:spacing w:lineRule="exact" w:line="600"/>
              <w:jc w:val="center"/>
            </w:pPr>
            <w:r/>
            <w:r>
              <w:rPr>
                <w:rFonts w:ascii="仿宋_GB2312" w:hAnsi="仿宋_GB2312" w:eastAsia="仿宋_GB2312"/>
                <w:b w:val="0"/>
                <w:color w:val="000000"/>
                <w:sz w:val="32"/>
              </w:rPr>
              <w:t>8.31</w:t>
            </w:r>
          </w:p>
        </w:tc>
        <w:tc>
          <w:tcPr>
            <w:tcW w:type="dxa" w:w="1701"/>
          </w:tcPr>
          <w:p>
            <w:pPr>
              <w:spacing w:lineRule="exact" w:line="600"/>
              <w:jc w:val="center"/>
            </w:pPr>
            <w:r/>
            <w:r>
              <w:rPr>
                <w:rFonts w:ascii="仿宋_GB2312" w:hAnsi="仿宋_GB2312" w:eastAsia="仿宋_GB2312"/>
                <w:b w:val="0"/>
                <w:color w:val="000000"/>
                <w:sz w:val="32"/>
              </w:rPr>
              <w:t>11.11</w:t>
            </w:r>
          </w:p>
        </w:tc>
        <w:tc>
          <w:tcPr>
            <w:tcW w:type="dxa" w:w="1701"/>
          </w:tcPr>
          <w:p>
            <w:pPr>
              <w:spacing w:lineRule="exact" w:line="600"/>
              <w:jc w:val="center"/>
            </w:pPr>
            <w:r/>
            <w:r>
              <w:rPr>
                <w:rFonts w:ascii="仿宋_GB2312" w:hAnsi="仿宋_GB2312" w:eastAsia="仿宋_GB2312"/>
                <w:b w:val="0"/>
                <w:color w:val="000000"/>
                <w:sz w:val="32"/>
              </w:rPr>
              <w:t>9.11</w:t>
            </w:r>
          </w:p>
        </w:tc>
      </w:tr>
      <w:tr>
        <w:tc>
          <w:tcPr>
            <w:tcW w:type="dxa" w:w="2608"/>
          </w:tcPr>
          <w:p>
            <w:pPr>
              <w:spacing w:lineRule="exact" w:line="600"/>
              <w:jc w:val="center"/>
            </w:pPr>
            <w:r/>
            <w:r>
              <w:rPr>
                <w:rFonts w:ascii="仿宋_GB2312" w:hAnsi="仿宋_GB2312" w:eastAsia="仿宋_GB2312"/>
                <w:b w:val="0"/>
                <w:color w:val="000000"/>
                <w:sz w:val="32"/>
              </w:rPr>
              <w:t>归母净利润</w:t>
            </w:r>
          </w:p>
        </w:tc>
        <w:tc>
          <w:tcPr>
            <w:tcW w:type="dxa" w:w="1701"/>
          </w:tcPr>
          <w:p>
            <w:pPr>
              <w:spacing w:lineRule="exact" w:line="600"/>
              <w:jc w:val="center"/>
            </w:pPr>
            <w:r/>
            <w:r>
              <w:rPr>
                <w:rFonts w:ascii="仿宋_GB2312" w:hAnsi="仿宋_GB2312" w:eastAsia="仿宋_GB2312"/>
                <w:b w:val="0"/>
                <w:color w:val="000000"/>
                <w:sz w:val="32"/>
              </w:rPr>
              <w:t>6.90</w:t>
            </w:r>
          </w:p>
        </w:tc>
        <w:tc>
          <w:tcPr>
            <w:tcW w:type="dxa" w:w="1701"/>
          </w:tcPr>
          <w:p>
            <w:pPr>
              <w:spacing w:lineRule="exact" w:line="600"/>
              <w:jc w:val="center"/>
            </w:pPr>
            <w:r/>
            <w:r>
              <w:rPr>
                <w:rFonts w:ascii="仿宋_GB2312" w:hAnsi="仿宋_GB2312" w:eastAsia="仿宋_GB2312"/>
                <w:b w:val="0"/>
                <w:color w:val="000000"/>
                <w:sz w:val="32"/>
              </w:rPr>
              <w:t>9.43</w:t>
            </w:r>
          </w:p>
        </w:tc>
        <w:tc>
          <w:tcPr>
            <w:tcW w:type="dxa" w:w="1701"/>
          </w:tcPr>
          <w:p>
            <w:pPr>
              <w:spacing w:lineRule="exact" w:line="600"/>
              <w:jc w:val="center"/>
            </w:pPr>
            <w:r/>
            <w:r>
              <w:rPr>
                <w:rFonts w:ascii="仿宋_GB2312" w:hAnsi="仿宋_GB2312" w:eastAsia="仿宋_GB2312"/>
                <w:b w:val="0"/>
                <w:color w:val="000000"/>
                <w:sz w:val="32"/>
              </w:rPr>
              <w:t>7.76</w:t>
            </w:r>
          </w:p>
        </w:tc>
      </w:tr>
      <w:tr>
        <w:tc>
          <w:tcPr>
            <w:tcW w:type="dxa" w:w="2608"/>
          </w:tcPr>
          <w:p>
            <w:pPr>
              <w:spacing w:lineRule="exact" w:line="600"/>
              <w:jc w:val="center"/>
            </w:pPr>
            <w:r/>
            <w:r>
              <w:rPr>
                <w:rFonts w:ascii="仿宋_GB2312" w:hAnsi="仿宋_GB2312" w:eastAsia="仿宋_GB2312"/>
                <w:b w:val="0"/>
                <w:color w:val="000000"/>
                <w:sz w:val="32"/>
              </w:rPr>
              <w:t>扣非归母净利润</w:t>
            </w:r>
          </w:p>
        </w:tc>
        <w:tc>
          <w:tcPr>
            <w:tcW w:type="dxa" w:w="1701"/>
          </w:tcPr>
          <w:p>
            <w:pPr>
              <w:spacing w:lineRule="exact" w:line="600"/>
              <w:jc w:val="center"/>
            </w:pPr>
            <w:r/>
            <w:r>
              <w:rPr>
                <w:rFonts w:ascii="仿宋_GB2312" w:hAnsi="仿宋_GB2312" w:eastAsia="仿宋_GB2312"/>
                <w:b w:val="0"/>
                <w:color w:val="000000"/>
                <w:sz w:val="32"/>
              </w:rPr>
              <w:t>6.58</w:t>
            </w:r>
          </w:p>
        </w:tc>
        <w:tc>
          <w:tcPr>
            <w:tcW w:type="dxa" w:w="1701"/>
          </w:tcPr>
          <w:p>
            <w:pPr>
              <w:spacing w:lineRule="exact" w:line="600"/>
              <w:jc w:val="center"/>
            </w:pPr>
            <w:r/>
            <w:r>
              <w:rPr>
                <w:rFonts w:ascii="仿宋_GB2312" w:hAnsi="仿宋_GB2312" w:eastAsia="仿宋_GB2312"/>
                <w:b w:val="0"/>
                <w:color w:val="000000"/>
                <w:sz w:val="32"/>
              </w:rPr>
              <w:t>9.04</w:t>
            </w:r>
          </w:p>
        </w:tc>
        <w:tc>
          <w:tcPr>
            <w:tcW w:type="dxa" w:w="1701"/>
          </w:tcPr>
          <w:p>
            <w:pPr>
              <w:spacing w:lineRule="exact" w:line="600"/>
              <w:jc w:val="center"/>
            </w:pPr>
            <w:r/>
            <w:r>
              <w:rPr>
                <w:rFonts w:ascii="仿宋_GB2312" w:hAnsi="仿宋_GB2312" w:eastAsia="仿宋_GB2312"/>
                <w:b w:val="0"/>
                <w:color w:val="000000"/>
                <w:sz w:val="32"/>
              </w:rPr>
              <w:t>7.42</w:t>
            </w:r>
          </w:p>
        </w:tc>
      </w:tr>
      <w:tr>
        <w:tc>
          <w:tcPr>
            <w:tcW w:type="dxa" w:w="2608"/>
          </w:tcPr>
          <w:p>
            <w:pPr>
              <w:spacing w:lineRule="exact" w:line="600"/>
              <w:jc w:val="center"/>
            </w:pPr>
            <w:r/>
            <w:r>
              <w:rPr>
                <w:rFonts w:ascii="仿宋_GB2312" w:hAnsi="仿宋_GB2312" w:eastAsia="仿宋_GB2312"/>
                <w:b w:val="0"/>
                <w:color w:val="000000"/>
                <w:sz w:val="32"/>
              </w:rPr>
              <w:t>经营活动现金流量净额</w:t>
            </w:r>
          </w:p>
        </w:tc>
        <w:tc>
          <w:tcPr>
            <w:tcW w:type="dxa" w:w="1701"/>
          </w:tcPr>
          <w:p>
            <w:pPr>
              <w:spacing w:lineRule="exact" w:line="600"/>
              <w:jc w:val="center"/>
            </w:pPr>
            <w:r/>
            <w:r>
              <w:rPr>
                <w:rFonts w:ascii="仿宋_GB2312" w:hAnsi="仿宋_GB2312" w:eastAsia="仿宋_GB2312"/>
                <w:b w:val="0"/>
                <w:color w:val="000000"/>
                <w:sz w:val="32"/>
              </w:rPr>
              <w:t>5.77</w:t>
            </w:r>
          </w:p>
        </w:tc>
        <w:tc>
          <w:tcPr>
            <w:tcW w:type="dxa" w:w="1701"/>
          </w:tcPr>
          <w:p>
            <w:pPr>
              <w:spacing w:lineRule="exact" w:line="600"/>
              <w:jc w:val="center"/>
            </w:pPr>
            <w:r/>
            <w:r>
              <w:rPr>
                <w:rFonts w:ascii="仿宋_GB2312" w:hAnsi="仿宋_GB2312" w:eastAsia="仿宋_GB2312"/>
                <w:b w:val="0"/>
                <w:color w:val="000000"/>
                <w:sz w:val="32"/>
              </w:rPr>
              <w:t>11.65</w:t>
            </w:r>
          </w:p>
        </w:tc>
        <w:tc>
          <w:tcPr>
            <w:tcW w:type="dxa" w:w="1701"/>
          </w:tcPr>
          <w:p>
            <w:pPr>
              <w:spacing w:lineRule="exact" w:line="600"/>
              <w:jc w:val="center"/>
            </w:pPr>
            <w:r/>
            <w:r>
              <w:rPr>
                <w:rFonts w:ascii="仿宋_GB2312" w:hAnsi="仿宋_GB2312" w:eastAsia="仿宋_GB2312"/>
                <w:b w:val="0"/>
                <w:color w:val="000000"/>
                <w:sz w:val="32"/>
              </w:rPr>
              <w:t>10.48</w:t>
            </w:r>
          </w:p>
        </w:tc>
      </w:tr>
      <w:tr>
        <w:tc>
          <w:tcPr>
            <w:tcW w:type="dxa" w:w="2608"/>
          </w:tcPr>
          <w:p>
            <w:pPr>
              <w:spacing w:lineRule="exact" w:line="600"/>
              <w:jc w:val="center"/>
            </w:pPr>
            <w:r/>
            <w:r>
              <w:rPr>
                <w:rFonts w:ascii="仿宋_GB2312" w:hAnsi="仿宋_GB2312" w:eastAsia="仿宋_GB2312"/>
                <w:b w:val="0"/>
                <w:color w:val="000000"/>
                <w:sz w:val="32"/>
              </w:rPr>
              <w:t>总资产</w:t>
            </w:r>
          </w:p>
        </w:tc>
        <w:tc>
          <w:tcPr>
            <w:tcW w:type="dxa" w:w="1701"/>
          </w:tcPr>
          <w:p>
            <w:pPr>
              <w:spacing w:lineRule="exact" w:line="600"/>
              <w:jc w:val="center"/>
            </w:pPr>
            <w:r/>
            <w:r>
              <w:rPr>
                <w:rFonts w:ascii="仿宋_GB2312" w:hAnsi="仿宋_GB2312" w:eastAsia="仿宋_GB2312"/>
                <w:b w:val="0"/>
                <w:color w:val="000000"/>
                <w:sz w:val="32"/>
              </w:rPr>
              <w:t>100.44</w:t>
            </w:r>
          </w:p>
        </w:tc>
        <w:tc>
          <w:tcPr>
            <w:tcW w:type="dxa" w:w="1701"/>
          </w:tcPr>
          <w:p>
            <w:pPr>
              <w:spacing w:lineRule="exact" w:line="600"/>
              <w:jc w:val="center"/>
            </w:pPr>
            <w:r/>
            <w:r>
              <w:rPr>
                <w:rFonts w:ascii="仿宋_GB2312" w:hAnsi="仿宋_GB2312" w:eastAsia="仿宋_GB2312"/>
                <w:b w:val="0"/>
                <w:color w:val="000000"/>
                <w:sz w:val="32"/>
              </w:rPr>
              <w:t>101.40</w:t>
            </w:r>
          </w:p>
        </w:tc>
        <w:tc>
          <w:tcPr>
            <w:tcW w:type="dxa" w:w="1701"/>
          </w:tcPr>
          <w:p>
            <w:pPr>
              <w:spacing w:lineRule="exact" w:line="600"/>
              <w:jc w:val="center"/>
            </w:pPr>
            <w:r/>
            <w:r>
              <w:rPr>
                <w:rFonts w:ascii="仿宋_GB2312" w:hAnsi="仿宋_GB2312" w:eastAsia="仿宋_GB2312"/>
                <w:b w:val="0"/>
                <w:color w:val="000000"/>
                <w:sz w:val="32"/>
              </w:rPr>
              <w:t>93.19</w:t>
            </w:r>
          </w:p>
        </w:tc>
      </w:tr>
      <w:tr>
        <w:tc>
          <w:tcPr>
            <w:tcW w:type="dxa" w:w="2608"/>
          </w:tcPr>
          <w:p>
            <w:pPr>
              <w:spacing w:lineRule="exact" w:line="600"/>
              <w:jc w:val="center"/>
            </w:pPr>
            <w:r/>
            <w:r>
              <w:rPr>
                <w:rFonts w:ascii="仿宋_GB2312" w:hAnsi="仿宋_GB2312" w:eastAsia="仿宋_GB2312"/>
                <w:b w:val="0"/>
                <w:color w:val="000000"/>
                <w:sz w:val="32"/>
              </w:rPr>
              <w:t>归母净资产</w:t>
            </w:r>
          </w:p>
        </w:tc>
        <w:tc>
          <w:tcPr>
            <w:tcW w:type="dxa" w:w="1701"/>
          </w:tcPr>
          <w:p>
            <w:pPr>
              <w:spacing w:lineRule="exact" w:line="600"/>
              <w:jc w:val="center"/>
            </w:pPr>
            <w:r/>
            <w:r>
              <w:rPr>
                <w:rFonts w:ascii="仿宋_GB2312" w:hAnsi="仿宋_GB2312" w:eastAsia="仿宋_GB2312"/>
                <w:b w:val="0"/>
                <w:color w:val="000000"/>
                <w:sz w:val="32"/>
              </w:rPr>
              <w:t>82.95</w:t>
            </w:r>
          </w:p>
        </w:tc>
        <w:tc>
          <w:tcPr>
            <w:tcW w:type="dxa" w:w="1701"/>
          </w:tcPr>
          <w:p>
            <w:pPr>
              <w:spacing w:lineRule="exact" w:line="600"/>
              <w:jc w:val="center"/>
            </w:pPr>
            <w:r/>
            <w:r>
              <w:rPr>
                <w:rFonts w:ascii="仿宋_GB2312" w:hAnsi="仿宋_GB2312" w:eastAsia="仿宋_GB2312"/>
                <w:b w:val="0"/>
                <w:color w:val="000000"/>
                <w:sz w:val="32"/>
              </w:rPr>
              <w:t>80.08</w:t>
            </w:r>
          </w:p>
        </w:tc>
        <w:tc>
          <w:tcPr>
            <w:tcW w:type="dxa" w:w="1701"/>
          </w:tcPr>
          <w:p>
            <w:pPr>
              <w:spacing w:lineRule="exact" w:line="600"/>
              <w:jc w:val="center"/>
            </w:pPr>
            <w:r/>
            <w:r>
              <w:rPr>
                <w:rFonts w:ascii="仿宋_GB2312" w:hAnsi="仿宋_GB2312" w:eastAsia="仿宋_GB2312"/>
                <w:b w:val="0"/>
                <w:color w:val="000000"/>
                <w:sz w:val="32"/>
              </w:rPr>
              <w:t>75.35</w:t>
            </w:r>
          </w:p>
        </w:tc>
      </w:tr>
    </w:tbl>
    <w:p>
      <w:pPr>
        <w:spacing w:lineRule="exact" w:line="600" w:before="0" w:after="0"/>
        <w:ind w:firstLine="420"/>
        <w:jc w:val="both"/>
      </w:pPr>
      <w:r>
        <w:rPr>
          <w:rFonts w:ascii="仿宋_GB2312" w:hAnsi="仿宋_GB2312" w:eastAsia="仿宋_GB2312"/>
          <w:b w:val="0"/>
          <w:color w:val="000000"/>
          <w:sz w:val="32"/>
        </w:rPr>
        <w:t>主要财务指标：2025年基本每股收益1.04元（2024年1.42元、2023年1.17元）；扣非基本每股收益0.99元；加权平均净资产收益率8.45%（2024年12.09%、2023年10.73%）；扣非加权平均净资产收益率8.06%；销售毛利率33.31%；销售净利率15.41%。截至2025年末，公司三年营业总收入复合年增长率为2.23%，三年净利润复合年增长率为3.71%。</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2025年公司营业收入44.74亿元，同比下降8.78%；归母净利润6.90亿元，同比下降26.87%；扣非净利润6.58亿元，同比下降27.13%。净利润降幅约为收入降幅的三倍，体现出典型的重资产企业经营杠杆效应——固定成本（折旧、窑炉维护、人工）刚性，收入下滑直接放大至利润端。</w:t>
      </w:r>
    </w:p>
    <w:p>
      <w:pPr>
        <w:spacing w:lineRule="exact" w:line="600" w:before="0" w:after="0"/>
        <w:ind w:firstLine="420"/>
        <w:jc w:val="both"/>
      </w:pPr>
      <w:r>
        <w:rPr>
          <w:rFonts w:ascii="仿宋_GB2312" w:hAnsi="仿宋_GB2312" w:eastAsia="仿宋_GB2312"/>
          <w:b w:val="0"/>
          <w:color w:val="000000"/>
          <w:sz w:val="32"/>
        </w:rPr>
        <w:t>但值得肯定的是，公司毛利率在收入下滑的情况下不降反升：2025年综合毛利率33.31%，同比上升0.16个百分点。分产品看，除安瓿瓶、棕色瓶系列外，其余产品毛利率均实现同比增长，其中核心产品模制瓶系列毛利率提升1.15个百分点至44.41%。这说明利润下滑主要源于销量收缩而非价格战，公司的产品竞争力与定价能力并未受损。</w:t>
      </w:r>
    </w:p>
    <w:p>
      <w:pPr>
        <w:spacing w:lineRule="exact" w:line="600" w:before="0" w:after="0"/>
        <w:ind w:firstLine="420"/>
        <w:jc w:val="both"/>
      </w:pPr>
      <w:r>
        <w:rPr>
          <w:rFonts w:ascii="仿宋_GB2312" w:hAnsi="仿宋_GB2312" w:eastAsia="仿宋_GB2312"/>
          <w:b w:val="0"/>
          <w:color w:val="000000"/>
          <w:sz w:val="32"/>
        </w:rPr>
        <w:t>净利率方面，2025年为15.41%，较上年同期下降3.82个百分点。从单季度看，2025年第四季度毛利率34.04%，同比下降2.82个百分点、环比下降2.38个百分点；净利率13.71%，同比下降6.90个百分点、环比下降2.98个百分点，四季度盈利压力大于前三季度。</w:t>
      </w:r>
    </w:p>
    <w:p>
      <w:pPr>
        <w:spacing w:lineRule="exact" w:line="600" w:before="0" w:after="0"/>
        <w:ind w:firstLine="420"/>
        <w:jc w:val="both"/>
      </w:pPr>
      <w:r>
        <w:rPr>
          <w:rFonts w:ascii="仿宋_GB2312" w:hAnsi="仿宋_GB2312" w:eastAsia="仿宋_GB2312"/>
          <w:b w:val="0"/>
          <w:color w:val="000000"/>
          <w:sz w:val="32"/>
        </w:rPr>
        <w:t>横向看，公司33.31%的毛利率与15.41%的净利率，在制造业中属于相当优秀的水平，显著高于多数包装材料企业，这来源于其在中硼硅模制瓶领域的技术与规模双重优势。</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截至2025年末，公司总资产100.44亿元，同比下降0.95%；归属于上市公司股东的净资产82.95亿元，同比增长3.58%。总资产微降而净资产增长，说明公司在2025年进行了适度的负债压降，资产结构进一步优化。</w:t>
      </w:r>
    </w:p>
    <w:p>
      <w:pPr>
        <w:spacing w:lineRule="exact" w:line="600" w:before="0" w:after="0"/>
        <w:ind w:firstLine="420"/>
        <w:jc w:val="both"/>
      </w:pPr>
      <w:r>
        <w:rPr>
          <w:rFonts w:ascii="仿宋_GB2312" w:hAnsi="仿宋_GB2312" w:eastAsia="仿宋_GB2312"/>
          <w:b w:val="0"/>
          <w:color w:val="000000"/>
          <w:sz w:val="32"/>
        </w:rPr>
        <w:t>需要关注的是存货问题。据2026年3月业绩说明会报道，公司存在"存货高企"的情况，公司管理层解释为窑炉连续生产特性所致——窑炉不能随需求波动而随意停产，需求下滑时必然形成阶段性库存积累。这一解释在技术上成立，但从财务角度看，存货占用资金、且药用玻璃虽不易变质但存在型号适配风险，仍需持续监控存货周转与跌价准备计提情况。</w:t>
      </w:r>
    </w:p>
    <w:p>
      <w:pPr>
        <w:spacing w:lineRule="exact" w:line="600" w:before="0" w:after="0"/>
        <w:ind w:firstLine="420"/>
        <w:jc w:val="both"/>
      </w:pPr>
      <w:r>
        <w:rPr>
          <w:rFonts w:ascii="仿宋_GB2312" w:hAnsi="仿宋_GB2312" w:eastAsia="仿宋_GB2312"/>
          <w:b w:val="0"/>
          <w:color w:val="000000"/>
          <w:sz w:val="32"/>
        </w:rPr>
        <w:t>公司总资产100.44亿元、归母净资产82.95亿元，以净资产占总资产比重计算约为82.6%，资产以自有资金支撑为主，资产质量的安全边际很高。</w:t>
      </w:r>
    </w:p>
    <w:p>
      <w:pPr>
        <w:spacing w:lineRule="exact" w:line="600" w:before="120" w:after="120"/>
        <w:ind w:firstLine="420"/>
        <w:jc w:val="left"/>
      </w:pPr>
      <w:r>
        <w:rPr>
          <w:rFonts w:ascii="楷体_GB2312" w:hAnsi="楷体_GB2312" w:eastAsia="楷体_GB2312"/>
          <w:b w:val="0"/>
          <w:color w:val="000000"/>
          <w:sz w:val="32"/>
        </w:rPr>
        <w:t>（四）负债与偿债能力</w:t>
      </w:r>
    </w:p>
    <w:p>
      <w:pPr>
        <w:spacing w:lineRule="exact" w:line="600" w:before="0" w:after="0"/>
        <w:ind w:firstLine="420"/>
        <w:jc w:val="both"/>
      </w:pPr>
      <w:r>
        <w:rPr>
          <w:rFonts w:ascii="仿宋_GB2312" w:hAnsi="仿宋_GB2312" w:eastAsia="仿宋_GB2312"/>
          <w:b w:val="0"/>
          <w:color w:val="000000"/>
          <w:sz w:val="32"/>
        </w:rPr>
        <w:t>公司是典型的低杠杆企业。截至2025年末，总资产100.44亿元、归母净资产82.95亿元，据此测算合并口径资产负债率约为17%左右（考虑少数股东权益后略有差异），在A股制造业上市公司中处于极低水平。</w:t>
      </w:r>
    </w:p>
    <w:p>
      <w:pPr>
        <w:spacing w:lineRule="exact" w:line="600" w:before="0" w:after="0"/>
        <w:ind w:firstLine="420"/>
        <w:jc w:val="both"/>
      </w:pPr>
      <w:r>
        <w:rPr>
          <w:rFonts w:ascii="仿宋_GB2312" w:hAnsi="仿宋_GB2312" w:eastAsia="仿宋_GB2312"/>
          <w:b w:val="0"/>
          <w:color w:val="000000"/>
          <w:sz w:val="32"/>
        </w:rPr>
        <w:t>低杠杆意味着极强的偿债能力与充裕的加杠杆空间。公司在过去多年的高盈利期间积累了大量留存收益，资本开支主要依靠自有资金而非债务融资，形成了"内生增长"的财务模式。</w:t>
      </w:r>
    </w:p>
    <w:p>
      <w:pPr>
        <w:spacing w:lineRule="exact" w:line="600" w:before="0" w:after="0"/>
        <w:ind w:firstLine="420"/>
        <w:jc w:val="both"/>
      </w:pPr>
      <w:r>
        <w:rPr>
          <w:rFonts w:ascii="仿宋_GB2312" w:hAnsi="仿宋_GB2312" w:eastAsia="仿宋_GB2312"/>
          <w:b w:val="0"/>
          <w:color w:val="000000"/>
          <w:sz w:val="32"/>
        </w:rPr>
        <w:t>从融资机构视角看，公司信用风险极低，属于优质授信客户；但另一方面，其自身融资需求也相对有限，这一特征将直接影响后文融资协同方案的设计取向。</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2025年公司经营活动产生的现金流量净额5.77亿元，同比大幅下降50.48%；2024年为11.65亿元，2023年为10.48亿元。经营现金流的腰斩是2025年财务表现中最需要警惕的信号，其降幅（50.48%）显著大于净利润降幅（26.87%）。</w:t>
      </w:r>
    </w:p>
    <w:p>
      <w:pPr>
        <w:spacing w:lineRule="exact" w:line="600" w:before="0" w:after="0"/>
        <w:ind w:firstLine="420"/>
        <w:jc w:val="both"/>
      </w:pPr>
      <w:r>
        <w:rPr>
          <w:rFonts w:ascii="仿宋_GB2312" w:hAnsi="仿宋_GB2312" w:eastAsia="仿宋_GB2312"/>
          <w:b w:val="0"/>
          <w:color w:val="000000"/>
          <w:sz w:val="32"/>
        </w:rPr>
        <w:t>经营现金流大幅下滑的主要原因包括：一是净利润本身下降2.53亿元；二是存货高企占用了大量营运资金——在窑炉连续生产而销售放缓的情况下，产成品库存增加直接消耗经营现金；三是可能存在的应收账款回款周期变化。公司管理层已就存货与现金流波动作出解释，将其归因于窑炉生产特性与产销平衡安排。</w:t>
      </w:r>
    </w:p>
    <w:p>
      <w:pPr>
        <w:spacing w:lineRule="exact" w:line="600" w:before="0" w:after="0"/>
        <w:ind w:firstLine="420"/>
        <w:jc w:val="both"/>
      </w:pPr>
      <w:r>
        <w:rPr>
          <w:rFonts w:ascii="仿宋_GB2312" w:hAnsi="仿宋_GB2312" w:eastAsia="仿宋_GB2312"/>
          <w:b w:val="0"/>
          <w:color w:val="000000"/>
          <w:sz w:val="32"/>
        </w:rPr>
        <w:t>尽管如此，5.77亿元的经营净现金流仍显著高于当年拟分配的现金股利（1.19亿元），股利支付的现金保障充分，且以公司100亿元的资产规模与极低的负债水平，短期现金流压力可控。需持续跟踪的是2026年经营现金流能否随需求恢复而回升。</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药包材与包装制造行业中，公司呈现"高毛利、高净利、低杠杆、大规模"的鲜明画像。2025年33.31%的毛利率、15.41%的净利率、约17%的资产负债率，三项指标组合在同业中均属优异。8.45%的ROE虽较2024年的12.09%明显回落，但主要受净资产基数扩大（净资产82.95亿元）与利润下滑的双重影响，并非资产运营效率的实质性恶化。</w:t>
      </w:r>
    </w:p>
    <w:p>
      <w:pPr>
        <w:spacing w:lineRule="exact" w:line="600" w:before="0" w:after="0"/>
        <w:ind w:firstLine="420"/>
        <w:jc w:val="both"/>
      </w:pPr>
      <w:r>
        <w:rPr>
          <w:rFonts w:ascii="仿宋_GB2312" w:hAnsi="仿宋_GB2312" w:eastAsia="仿宋_GB2312"/>
          <w:b w:val="0"/>
          <w:color w:val="000000"/>
          <w:sz w:val="32"/>
        </w:rPr>
        <w:t>与同处淄博的新华制药相比（2025年毛利率18.78%、资产负债率40.61%、ROE 5.66%），山东药玻在盈利能力与财务稳健性两个维度均明显占优，体现出细分领域龙头相对于普药制造企业的估值与经营优势。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建立了股东大会、董事会、监事会与经理层相互制衡的法人治理结构。2025年年度报告显示，公司全体董事出席董事会会议；中汇会计师事务所（特殊普通合伙）为公司出具了标准无保留意见的审计报告；公司负责人张军、主管会计工作负责人宋以钊及会计机构负责人刘绵行共同声明保证年度报告中财务报告的真实、准确、完整。</w:t>
      </w:r>
    </w:p>
    <w:p>
      <w:pPr>
        <w:spacing w:lineRule="exact" w:line="600" w:before="0" w:after="0"/>
        <w:ind w:firstLine="420"/>
        <w:jc w:val="both"/>
      </w:pPr>
      <w:r>
        <w:rPr>
          <w:rFonts w:ascii="仿宋_GB2312" w:hAnsi="仿宋_GB2312" w:eastAsia="仿宋_GB2312"/>
          <w:b w:val="0"/>
          <w:color w:val="000000"/>
          <w:sz w:val="32"/>
        </w:rPr>
        <w:t>公司在2025年年报中明确披露：不存在被控股股东及其他关联方非经营性占用资金的情况；不存在违反规定决策程序对外提供担保的情况；不存在半数以上董事无法保证所披露年度报告真实性、准确性和完整性的情形；报告期内不存在对公司生产经营产生实质性影响的重大风险。上述披露表明公司治理运行规范、内控有效。</w:t>
      </w:r>
    </w:p>
    <w:p>
      <w:pPr>
        <w:spacing w:lineRule="exact" w:line="600" w:before="0" w:after="0"/>
        <w:ind w:firstLine="420"/>
        <w:jc w:val="both"/>
      </w:pPr>
      <w:r>
        <w:rPr>
          <w:rFonts w:ascii="仿宋_GB2312" w:hAnsi="仿宋_GB2312" w:eastAsia="仿宋_GB2312"/>
          <w:b w:val="0"/>
          <w:color w:val="000000"/>
          <w:sz w:val="32"/>
        </w:rPr>
        <w:t>重大治理变化方面，国药集团入主事项若最终完成，公司将纳入央企治理体系，届时在董事会构成、党建工作要求、"三重一大"决策制度执行、经营业绩考核等方面将按照中央企业的标准运行，治理规范性有望进一步提升。</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法定代表人、总经理为张军；主管会计工作负责人为宋以钊；会计机构负责人（会计主管人员）为刘绵行；董事会秘书为赵海宝；证券事务代表为茹波。管理层在2026年3月的业绩说明会上就营收净利双降、存货高企与现金流波动等市场关切作出了公开回应，信息沟通较为主动，投资者关系管理规范。</w:t>
      </w:r>
    </w:p>
    <w:p>
      <w:pPr>
        <w:spacing w:lineRule="exact" w:line="600" w:before="0" w:after="0"/>
        <w:ind w:firstLine="420"/>
        <w:jc w:val="both"/>
      </w:pPr>
      <w:r>
        <w:rPr>
          <w:rFonts w:ascii="仿宋_GB2312" w:hAnsi="仿宋_GB2312" w:eastAsia="仿宋_GB2312"/>
          <w:b w:val="0"/>
          <w:color w:val="000000"/>
          <w:sz w:val="32"/>
        </w:rPr>
        <w:t>管理层的经营判断显示出较强的行业理解力：将业绩下滑准确归因于下游制药企业需求下降这一外部因素，并从窑炉工艺特性角度解释产销与库存关系，同时以"抢市场扩销量、提质量保市场、降成本促增长"作为应对方针，措施针对性较强，其中"降成本"在2025年毛利率逆势微升上已见成效。</w:t>
      </w:r>
    </w:p>
    <w:p>
      <w:pPr>
        <w:spacing w:lineRule="exact" w:line="600" w:before="120" w:after="120"/>
        <w:ind w:firstLine="420"/>
        <w:jc w:val="left"/>
      </w:pPr>
      <w:r>
        <w:rPr>
          <w:rFonts w:ascii="楷体_GB2312" w:hAnsi="楷体_GB2312" w:eastAsia="楷体_GB2312"/>
          <w:b w:val="0"/>
          <w:color w:val="000000"/>
          <w:sz w:val="32"/>
        </w:rPr>
        <w:t>（三）组织与内部控制</w:t>
      </w:r>
    </w:p>
    <w:p>
      <w:pPr>
        <w:spacing w:lineRule="exact" w:line="600" w:before="0" w:after="0"/>
        <w:ind w:firstLine="420"/>
        <w:jc w:val="both"/>
      </w:pPr>
      <w:r>
        <w:rPr>
          <w:rFonts w:ascii="仿宋_GB2312" w:hAnsi="仿宋_GB2312" w:eastAsia="仿宋_GB2312"/>
          <w:b w:val="0"/>
          <w:color w:val="000000"/>
          <w:sz w:val="32"/>
        </w:rPr>
        <w:t>公司作为直接接触药品的包装材料生产企业，质量管理体系是内控的核心。公司须建立覆盖原料检验、熔制、成型、退火、检验、清洗、灭菌（如适用）、包装、仓储、运输全过程的质量控制体系，并接受下游制药企业的供应商审计与药监部门的关联审评检查。</w:t>
      </w:r>
    </w:p>
    <w:p>
      <w:pPr>
        <w:spacing w:lineRule="exact" w:line="600" w:before="0" w:after="0"/>
        <w:ind w:firstLine="420"/>
        <w:jc w:val="both"/>
      </w:pPr>
      <w:r>
        <w:rPr>
          <w:rFonts w:ascii="仿宋_GB2312" w:hAnsi="仿宋_GB2312" w:eastAsia="仿宋_GB2312"/>
          <w:b w:val="0"/>
          <w:color w:val="000000"/>
          <w:sz w:val="32"/>
        </w:rPr>
        <w:t>公司在2025年年报中已就可能面对的风险及应对措施进行了专项阐述（见年报第三节管理层讨论与分析"可能面对的风险"部分），风险管理制度较为健全。同时，公司在前瞻性陈述风险声明中明确提示，经营计划与发展战略等前瞻性描述不构成对投资者的实质承诺，信息披露态度审慎。</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截至2025年末，公司员工总数为6,775人，同比减少4.79%。在营业收入下降8.78%的背景下，员工总数降幅小于收入降幅，说明公司未采取大规模裁员方式应对经营压力，人员队伍保持基本稳定。</w:t>
      </w:r>
    </w:p>
    <w:p>
      <w:pPr>
        <w:spacing w:lineRule="exact" w:line="600" w:before="0" w:after="0"/>
        <w:ind w:firstLine="420"/>
        <w:jc w:val="both"/>
      </w:pPr>
      <w:r>
        <w:rPr>
          <w:rFonts w:ascii="仿宋_GB2312" w:hAnsi="仿宋_GB2312" w:eastAsia="仿宋_GB2312"/>
          <w:b w:val="0"/>
          <w:color w:val="000000"/>
          <w:sz w:val="32"/>
        </w:rPr>
        <w:t>薪酬方面，2025年人均薪酬12.42万元，同比增长13.67%，在业绩下滑年份仍实现两位数的人均薪酬增长，一方面体现了公司对核心人才队伍的保有意愿，另一方面也构成了成本端的额外压力。人均创收66.04万元、人均创利10.18万元，其中人均创利同比下降23.19%，是业绩承压在人效层面的直接体现。</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技术与工艺壁垒。中硼硅玻璃的熔制工艺难度显著高于普通钠钙玻璃，对配方、窑炉设计、温控与成型工艺要求极高，国内能够规模化稳定生产中硼硅模制瓶的企业数量有限。公司在该领域的长期技术积累构成实质性壁垒，直接体现为模制瓶系列44.41%的高毛利率。</w:t>
      </w:r>
    </w:p>
    <w:p>
      <w:pPr>
        <w:spacing w:lineRule="exact" w:line="600" w:before="0" w:after="0"/>
        <w:ind w:firstLine="420"/>
        <w:jc w:val="both"/>
      </w:pPr>
      <w:r>
        <w:rPr>
          <w:rFonts w:ascii="仿宋_GB2312" w:hAnsi="仿宋_GB2312" w:eastAsia="仿宋_GB2312"/>
          <w:b w:val="0"/>
          <w:color w:val="000000"/>
          <w:sz w:val="32"/>
        </w:rPr>
        <w:t>第二，重资产与规模壁垒。玻璃窑炉建设投资巨大、建设周期长、且投产后必须连续运行，新进入者面临高额沉没成本与漫长的爬坡期。公司总资产100.44亿元的规模与多条窑炉的产能布局，形成了后来者难以在短期内追赶的规模优势。</w:t>
      </w:r>
    </w:p>
    <w:p>
      <w:pPr>
        <w:spacing w:lineRule="exact" w:line="600" w:before="0" w:after="0"/>
        <w:ind w:firstLine="420"/>
        <w:jc w:val="both"/>
      </w:pPr>
      <w:r>
        <w:rPr>
          <w:rFonts w:ascii="仿宋_GB2312" w:hAnsi="仿宋_GB2312" w:eastAsia="仿宋_GB2312"/>
          <w:b w:val="0"/>
          <w:color w:val="000000"/>
          <w:sz w:val="32"/>
        </w:rPr>
        <w:t>第三，认证与切换壁垒。药包材实行与药品注册关联审评审批，制药企业一旦在药品注册文件中确定包材供应商，变更需履行补充申请等程序，切换成本高、周期长。公司作为存量供应商享有显著的客户锁定效应，2025年前五大客户集中度仅13.17%，说明这种锁定是广泛而分散的，而非依赖少数大客户。</w:t>
      </w:r>
    </w:p>
    <w:p>
      <w:pPr>
        <w:spacing w:lineRule="exact" w:line="600" w:before="0" w:after="0"/>
        <w:ind w:firstLine="420"/>
        <w:jc w:val="both"/>
      </w:pPr>
      <w:r>
        <w:rPr>
          <w:rFonts w:ascii="仿宋_GB2312" w:hAnsi="仿宋_GB2312" w:eastAsia="仿宋_GB2312"/>
          <w:b w:val="0"/>
          <w:color w:val="000000"/>
          <w:sz w:val="32"/>
        </w:rPr>
        <w:t>第四，成本控制能力。2025年在收入下降8.78%的情况下，公司综合毛利率仍上升0.16个百分点，模制瓶毛利率提升1.15个百分点，充分验证了公司在原料采购、能源管理、良品率控制方面的精细化能力。</w:t>
      </w:r>
    </w:p>
    <w:p>
      <w:pPr>
        <w:spacing w:lineRule="exact" w:line="600" w:before="0" w:after="0"/>
        <w:ind w:firstLine="420"/>
        <w:jc w:val="both"/>
      </w:pPr>
      <w:r>
        <w:rPr>
          <w:rFonts w:ascii="仿宋_GB2312" w:hAnsi="仿宋_GB2312" w:eastAsia="仿宋_GB2312"/>
          <w:b w:val="0"/>
          <w:color w:val="000000"/>
          <w:sz w:val="32"/>
        </w:rPr>
        <w:t>第五，国际化能力与潜在的股东赋能。2025年海外收入15.02亿元、占比33.56%、逆势增长1.98%，说明公司产品已通过国际客户的严苛审计，具备全球竞争力。若国药集团入主完成，央企股东的全球网络与资源整合能力有望进一步放大这一优势。</w:t>
      </w:r>
    </w:p>
    <w:p>
      <w:pPr>
        <w:spacing w:lineRule="exact" w:line="600" w:before="0" w:after="0"/>
        <w:ind w:firstLine="420"/>
        <w:jc w:val="both"/>
      </w:pPr>
      <w:r>
        <w:rPr>
          <w:rFonts w:ascii="仿宋_GB2312" w:hAnsi="仿宋_GB2312" w:eastAsia="仿宋_GB2312"/>
          <w:b w:val="0"/>
          <w:color w:val="000000"/>
          <w:sz w:val="32"/>
        </w:rPr>
        <w:t>第六，财务护城河。约17%的资产负债率与82.95亿元的净资产，使公司在行业下行期具备极强的抗风险能力和逆周期扩张能力，这本身就是一种竞争优势——竞争对手在需求低谷期可能被迫收缩，而公司有能力维持投入并在复苏期抢占份额。</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一是下游医药行业需求波动风险。这是公司2025年业绩下滑的直接原因。公司管理层明确指出，主营产品营收下滑主要受国内制药企业需求下降影响。药品集中带量采购导致制剂企业压缩成本、优化库存，进而传导至包材采购端，形成"需求＋价格"的双重压力。</w:t>
      </w:r>
    </w:p>
    <w:p>
      <w:pPr>
        <w:spacing w:lineRule="exact" w:line="600" w:before="0" w:after="0"/>
        <w:ind w:firstLine="420"/>
        <w:jc w:val="both"/>
      </w:pPr>
      <w:r>
        <w:rPr>
          <w:rFonts w:ascii="仿宋_GB2312" w:hAnsi="仿宋_GB2312" w:eastAsia="仿宋_GB2312"/>
          <w:b w:val="0"/>
          <w:color w:val="000000"/>
          <w:sz w:val="32"/>
        </w:rPr>
        <w:t>二是行业产能竞争风险。中硼硅玻璃作为国产替代的重点方向，吸引了多家企业投资建设产能。若行业新增产能集中释放而需求恢复缓慢，可能引发价格竞争，侵蚀公司现有的高毛利水平。</w:t>
      </w:r>
    </w:p>
    <w:p>
      <w:pPr>
        <w:spacing w:lineRule="exact" w:line="600" w:before="0" w:after="0"/>
        <w:ind w:firstLine="420"/>
        <w:jc w:val="both"/>
      </w:pPr>
      <w:r>
        <w:rPr>
          <w:rFonts w:ascii="仿宋_GB2312" w:hAnsi="仿宋_GB2312" w:eastAsia="仿宋_GB2312"/>
          <w:b w:val="0"/>
          <w:color w:val="000000"/>
          <w:sz w:val="32"/>
        </w:rPr>
        <w:t>三是能源与原材料价格风险。玻璃熔制高度依赖天然气，能源价格上行将直接压缩毛利。2025年公司前五名供应商采购集中度达30.72%，上游议价能力相对较弱。</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产能刚性与库存风险。窑炉必须连续生产的工艺特性，使公司无法根据需求灵活调节产量，需求下滑期必然形成存货积压。2025年存货高企已引发市场关注，若需求持续低迷，存货规模与跌价风险将进一步累积。</w:t>
      </w:r>
    </w:p>
    <w:p>
      <w:pPr>
        <w:spacing w:lineRule="exact" w:line="600" w:before="0" w:after="0"/>
        <w:ind w:firstLine="420"/>
        <w:jc w:val="both"/>
      </w:pPr>
      <w:r>
        <w:rPr>
          <w:rFonts w:ascii="仿宋_GB2312" w:hAnsi="仿宋_GB2312" w:eastAsia="仿宋_GB2312"/>
          <w:b w:val="0"/>
          <w:color w:val="000000"/>
          <w:sz w:val="32"/>
        </w:rPr>
        <w:t>二是弱势品类持续拖累风险。管制瓶2025年毛利率仅1.70%、安瓿瓶收入同比下滑19.64%，这两个品类已接近或处于不盈利状态。若不进行结构性调整（如产能转向、技术升级或退出），将持续占用资源并拖累整体表现。</w:t>
      </w:r>
    </w:p>
    <w:p>
      <w:pPr>
        <w:spacing w:lineRule="exact" w:line="600" w:before="0" w:after="0"/>
        <w:ind w:firstLine="420"/>
        <w:jc w:val="both"/>
      </w:pPr>
      <w:r>
        <w:rPr>
          <w:rFonts w:ascii="仿宋_GB2312" w:hAnsi="仿宋_GB2312" w:eastAsia="仿宋_GB2312"/>
          <w:b w:val="0"/>
          <w:color w:val="000000"/>
          <w:sz w:val="32"/>
        </w:rPr>
        <w:t>三是海外市场不确定性。海外收入占比33.56%，面临汇率波动、贸易壁垒、地缘政治与国际物流成本变化等风险。</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一是经营现金流大幅波动风险。2025年经营现金流净额同比下降50.48%至5.77亿元，降幅远超净利润降幅，反映营运资金占用加剧。这是当前公司财务层面最需要关注的指标。</w:t>
      </w:r>
    </w:p>
    <w:p>
      <w:pPr>
        <w:spacing w:lineRule="exact" w:line="600" w:before="0" w:after="0"/>
        <w:ind w:firstLine="420"/>
        <w:jc w:val="both"/>
      </w:pPr>
      <w:r>
        <w:rPr>
          <w:rFonts w:ascii="仿宋_GB2312" w:hAnsi="仿宋_GB2312" w:eastAsia="仿宋_GB2312"/>
          <w:b w:val="0"/>
          <w:color w:val="000000"/>
          <w:sz w:val="32"/>
        </w:rPr>
        <w:t>二是盈利中枢下移风险。归母净利润由2024年的9.43亿元降至2025年的6.90亿元，ROE由12.09%降至8.45%。若需求端未能有效恢复，在经营杠杆作用下利润仍可能继续下探。</w:t>
      </w:r>
    </w:p>
    <w:p>
      <w:pPr>
        <w:spacing w:lineRule="exact" w:line="600" w:before="0" w:after="0"/>
        <w:ind w:firstLine="420"/>
        <w:jc w:val="both"/>
      </w:pPr>
      <w:r>
        <w:rPr>
          <w:rFonts w:ascii="仿宋_GB2312" w:hAnsi="仿宋_GB2312" w:eastAsia="仿宋_GB2312"/>
          <w:b w:val="0"/>
          <w:color w:val="000000"/>
          <w:sz w:val="32"/>
        </w:rPr>
        <w:t>三是资金效率偏低风险。公司资产负债率约17%，大量自有资金沉淀于低效资产，ROE水平受到财务杠杆过低的抑制。这虽非风险，但反映资本配置效率有优化空间。</w:t>
      </w:r>
    </w:p>
    <w:p>
      <w:pPr>
        <w:spacing w:lineRule="exact" w:line="600" w:before="120" w:after="120"/>
        <w:ind w:firstLine="420"/>
        <w:jc w:val="left"/>
      </w:pPr>
      <w:r>
        <w:rPr>
          <w:rFonts w:ascii="楷体_GB2312" w:hAnsi="楷体_GB2312" w:eastAsia="楷体_GB2312"/>
          <w:b w:val="0"/>
          <w:color w:val="000000"/>
          <w:sz w:val="32"/>
        </w:rPr>
        <w:t>（四）合规与控制权变更风险</w:t>
      </w:r>
    </w:p>
    <w:p>
      <w:pPr>
        <w:spacing w:lineRule="exact" w:line="600" w:before="0" w:after="0"/>
        <w:ind w:firstLine="420"/>
        <w:jc w:val="both"/>
      </w:pPr>
      <w:r>
        <w:rPr>
          <w:rFonts w:ascii="仿宋_GB2312" w:hAnsi="仿宋_GB2312" w:eastAsia="仿宋_GB2312"/>
          <w:b w:val="0"/>
          <w:color w:val="000000"/>
          <w:sz w:val="32"/>
        </w:rPr>
        <w:t>公司2025年年报明确披露报告期内不存在对生产经营产生实质性影响的重大风险，不存在控股股东非经营性资金占用与违规担保，合规状况良好。</w:t>
      </w:r>
    </w:p>
    <w:p>
      <w:pPr>
        <w:spacing w:lineRule="exact" w:line="600" w:before="0" w:after="0"/>
        <w:ind w:firstLine="420"/>
        <w:jc w:val="both"/>
      </w:pPr>
      <w:r>
        <w:rPr>
          <w:rFonts w:ascii="仿宋_GB2312" w:hAnsi="仿宋_GB2312" w:eastAsia="仿宋_GB2312"/>
          <w:b w:val="0"/>
          <w:color w:val="000000"/>
          <w:sz w:val="32"/>
        </w:rPr>
        <w:t>控制权变更方面，国药集团入主事项正在实施过程中。此类重大股权变更在完成前存在监管审批、交易条件满足等不确定性；完成后则可能带来管理层调整、战略方向调整、关联交易增加等一系列变化。融资机构在与公司开展合作时，应关注该事项的最终落地情况及其对公司信用主体属性的影响（由地方企业转为央企控股，通常意味着信用资质进一步提升）。</w:t>
      </w:r>
    </w:p>
    <w:p>
      <w:pPr>
        <w:spacing w:lineRule="exact" w:line="600" w:before="120" w:after="120"/>
        <w:ind w:firstLine="420"/>
        <w:jc w:val="left"/>
      </w:pPr>
      <w:r>
        <w:rPr>
          <w:rFonts w:ascii="黑体" w:hAnsi="黑体" w:eastAsia="黑体"/>
          <w:b w:val="0"/>
          <w:color w:val="000000"/>
          <w:sz w:val="32"/>
        </w:rPr>
        <w:t>七、融资需求分析（与山东投资协同）</w:t>
      </w:r>
    </w:p>
    <w:p>
      <w:pPr>
        <w:spacing w:lineRule="exact" w:line="600" w:before="120" w:after="120"/>
        <w:ind w:firstLine="420"/>
        <w:jc w:val="left"/>
      </w:pPr>
      <w:r>
        <w:rPr>
          <w:rFonts w:ascii="楷体_GB2312" w:hAnsi="楷体_GB2312" w:eastAsia="楷体_GB2312"/>
          <w:b w:val="0"/>
          <w:color w:val="000000"/>
          <w:sz w:val="32"/>
        </w:rPr>
        <w:t>（一）总体判断</w:t>
      </w:r>
    </w:p>
    <w:p>
      <w:pPr>
        <w:spacing w:lineRule="exact" w:line="600" w:before="0" w:after="0"/>
        <w:ind w:firstLine="420"/>
        <w:jc w:val="both"/>
      </w:pPr>
      <w:r>
        <w:rPr>
          <w:rFonts w:ascii="仿宋_GB2312" w:hAnsi="仿宋_GB2312" w:eastAsia="仿宋_GB2312"/>
          <w:b w:val="0"/>
          <w:color w:val="000000"/>
          <w:sz w:val="32"/>
        </w:rPr>
        <w:t>公司资产负债率仅约17%、净资产82.95亿元、经营现金流5.77亿元，是典型的"高信用、低负债、弱融资意愿"客户。传统的债权融资对公司吸引力有限——其自有资金足以覆盖日常经营与常规资本开支。因此，与山东投资的协同重点不应放在"给公司放款"，而应放在"以公司为核心企业服务其产业链"与"提供差异化的资金效率工具"两个方向。</w:t>
      </w:r>
    </w:p>
    <w:p>
      <w:pPr>
        <w:spacing w:lineRule="exact" w:line="600" w:before="120" w:after="120"/>
        <w:ind w:firstLine="420"/>
        <w:jc w:val="left"/>
      </w:pPr>
      <w:r>
        <w:rPr>
          <w:rFonts w:ascii="楷体_GB2312" w:hAnsi="楷体_GB2312" w:eastAsia="楷体_GB2312"/>
          <w:b w:val="0"/>
          <w:color w:val="000000"/>
          <w:sz w:val="32"/>
        </w:rPr>
        <w:t>（二）保理业务切入建议</w:t>
      </w:r>
    </w:p>
    <w:p>
      <w:pPr>
        <w:spacing w:lineRule="exact" w:line="600" w:before="0" w:after="0"/>
        <w:ind w:firstLine="420"/>
        <w:jc w:val="both"/>
      </w:pPr>
      <w:r>
        <w:rPr>
          <w:rFonts w:ascii="仿宋_GB2312" w:hAnsi="仿宋_GB2312" w:eastAsia="仿宋_GB2312"/>
          <w:b w:val="0"/>
          <w:color w:val="000000"/>
          <w:sz w:val="32"/>
        </w:rPr>
        <w:t>公司应收账款对应的债务人为国内外制药企业，信用质量优良。虽然公司自身流动性充裕，但在经营现金流同比下降50.48%的背景下，通过保理加速回款、改善现金流指标具有现实意义。建议提供"无追索权国内保理"产品，帮助公司实现应收账款出表、优化财务报表现金流表现；同时针对占比33.56%的海外收入，提供出口保理并搭配出口信用保险，在加速回款的同时对冲境外买方信用与汇率风险。定价上须充分考虑公司的优质信用，采用具有竞争力的利率。</w:t>
      </w:r>
    </w:p>
    <w:p>
      <w:pPr>
        <w:spacing w:lineRule="exact" w:line="600" w:before="120" w:after="120"/>
        <w:ind w:firstLine="420"/>
        <w:jc w:val="left"/>
      </w:pPr>
      <w:r>
        <w:rPr>
          <w:rFonts w:ascii="楷体_GB2312" w:hAnsi="楷体_GB2312" w:eastAsia="楷体_GB2312"/>
          <w:b w:val="0"/>
          <w:color w:val="000000"/>
          <w:sz w:val="32"/>
        </w:rPr>
        <w:t>（三）供应链金融切入建议</w:t>
      </w:r>
    </w:p>
    <w:p>
      <w:pPr>
        <w:spacing w:lineRule="exact" w:line="600" w:before="0" w:after="0"/>
        <w:ind w:firstLine="420"/>
        <w:jc w:val="both"/>
      </w:pPr>
      <w:r>
        <w:rPr>
          <w:rFonts w:ascii="仿宋_GB2312" w:hAnsi="仿宋_GB2312" w:eastAsia="仿宋_GB2312"/>
          <w:b w:val="0"/>
          <w:color w:val="000000"/>
          <w:sz w:val="32"/>
        </w:rPr>
        <w:t>这是与公司协同价值最高的方向。公司前五名供应商采购集中度30.72%，意味着仍有近70%的采购分布于大量中小供应商，涵盖石英砂、纯碱、硼砂、包装耗材、备品备件、工程服务等品类。建议以山东药玻为核心企业搭建反向保理（应付账款确权融资）平台，由山东投资向其上游中小供应商提供基于核心企业信用的融资服务。该模式对公司而言可延长账期、优化自身现金流；对供应商而言可低成本融资；对山东投资而言可获得以AAA级核心企业信用为底层的低风险资产，实现三方共赢。</w:t>
      </w:r>
    </w:p>
    <w:p>
      <w:pPr>
        <w:spacing w:lineRule="exact" w:line="600" w:before="120" w:after="120"/>
        <w:ind w:firstLine="420"/>
        <w:jc w:val="left"/>
      </w:pPr>
      <w:r>
        <w:rPr>
          <w:rFonts w:ascii="楷体_GB2312" w:hAnsi="楷体_GB2312" w:eastAsia="楷体_GB2312"/>
          <w:b w:val="0"/>
          <w:color w:val="000000"/>
          <w:sz w:val="32"/>
        </w:rPr>
        <w:t>（四）融资租赁切入建议</w:t>
      </w:r>
    </w:p>
    <w:p>
      <w:pPr>
        <w:spacing w:lineRule="exact" w:line="600" w:before="0" w:after="0"/>
        <w:ind w:firstLine="420"/>
        <w:jc w:val="both"/>
      </w:pPr>
      <w:r>
        <w:rPr>
          <w:rFonts w:ascii="仿宋_GB2312" w:hAnsi="仿宋_GB2312" w:eastAsia="仿宋_GB2312"/>
          <w:b w:val="0"/>
          <w:color w:val="000000"/>
          <w:sz w:val="32"/>
        </w:rPr>
        <w:t>玻璃窑炉是公司最重要的资产，单条窑炉投资额大、使用寿命明确、设备通用性与残值确定性较高，是融资租赁的理想标的。建议重点推荐两类方案：一是售后回租，针对公司现有的成熟窑炉与配套生产线开展回租，在不影响生产的前提下盘活重资产、释放沉淀资金，提升公司ROE水平（当前8.45%，受低杠杆抑制明显）；二是直接租赁，服务其中硼硅产能扩建、窑炉冷修改造与智能化检测设备采购，租期匹配窑炉8—10年的使用周期。售后回租方案对公司的核心卖点是"在不增加实质风险的前提下改善资本效率"，这恰好切中其低杠杆导致ROE偏低的痛点。</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公司自身不适配小贷产品。建议将小贷业务定位于其生态圈延伸：一是为其上游长尾供应商（如本地石英砂加工、包装耗材、物流运输、设备维修服务商）提供小额短期周转贷款，以在山东药玻的订单与结算记录作为核心风控数据；二是为沂源县及淄博地区围绕药玻配套形成的中小企业集群提供普惠金融服务。</w:t>
      </w:r>
    </w:p>
    <w:p>
      <w:pPr>
        <w:spacing w:lineRule="exact" w:line="600" w:before="120" w:after="120"/>
        <w:ind w:firstLine="420"/>
        <w:jc w:val="left"/>
      </w:pPr>
      <w:r>
        <w:rPr>
          <w:rFonts w:ascii="楷体_GB2312" w:hAnsi="楷体_GB2312" w:eastAsia="楷体_GB2312"/>
          <w:b w:val="0"/>
          <w:color w:val="000000"/>
          <w:sz w:val="32"/>
        </w:rPr>
        <w:t>（六）综合协同建议</w:t>
      </w:r>
    </w:p>
    <w:p>
      <w:pPr>
        <w:spacing w:lineRule="exact" w:line="600" w:before="0" w:after="0"/>
        <w:ind w:firstLine="420"/>
        <w:jc w:val="both"/>
      </w:pPr>
      <w:r>
        <w:rPr>
          <w:rFonts w:ascii="仿宋_GB2312" w:hAnsi="仿宋_GB2312" w:eastAsia="仿宋_GB2312"/>
          <w:b w:val="0"/>
          <w:color w:val="000000"/>
          <w:sz w:val="32"/>
        </w:rPr>
        <w:t>建议山东投资将山东药玻定位为"低风险、高协同价值"的战略客户，采取"以租赁撬动主体、以供应链服务产业链"的双轮策略。同时密切关注国药集团入主的进展：若完成，公司将成为央企控股上市公司，其信用等级与业务体量有望进一步提升，届时在跨境金融、产业并购、供应链平台建设等方面存在更大的合作空间。此外，可考虑推动公司与集群内新华制药等制剂企业的产业链金融闭环，形成"包材—制剂"一体化的供应链金融生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药玻是我国药用玻璃行业的绝对龙头之一，在中硼硅模制瓶这一战略性细分品类上具有技术、规模与客户认证的三重壁垒。公司财务状况极为稳健：资产负债率约17%、归母净资产82.95亿元、毛利率33.31%、净利率15.41%，各项指标在制造业中均属优异。</w:t>
      </w:r>
    </w:p>
    <w:p>
      <w:pPr>
        <w:spacing w:lineRule="exact" w:line="600" w:before="0" w:after="0"/>
        <w:ind w:firstLine="420"/>
        <w:jc w:val="both"/>
      </w:pPr>
      <w:r>
        <w:rPr>
          <w:rFonts w:ascii="仿宋_GB2312" w:hAnsi="仿宋_GB2312" w:eastAsia="仿宋_GB2312"/>
          <w:b w:val="0"/>
          <w:color w:val="000000"/>
          <w:sz w:val="32"/>
        </w:rPr>
        <w:t>2025年公司遭遇了上市以来较为明显的经营压力：营业收入44.74亿元同比下降8.78%，归母净利润6.90亿元同比下降26.87%，经营现金流5.77亿元同比下降50.48%。但深入分析可见，业绩下滑源于下游需求周期而非公司竞争力削弱——核心产品毛利率不降反升、海外收入逆势增长、成本管控成效显现，公司的产业地位与盈利能力基础并未受损。</w:t>
      </w:r>
    </w:p>
    <w:p>
      <w:pPr>
        <w:spacing w:lineRule="exact" w:line="600" w:before="0" w:after="0"/>
        <w:ind w:firstLine="420"/>
        <w:jc w:val="both"/>
      </w:pPr>
      <w:r>
        <w:rPr>
          <w:rFonts w:ascii="仿宋_GB2312" w:hAnsi="仿宋_GB2312" w:eastAsia="仿宋_GB2312"/>
          <w:b w:val="0"/>
          <w:color w:val="000000"/>
          <w:sz w:val="32"/>
        </w:rPr>
        <w:t>总体评价：公司属于"经历周期底部的行业龙头"，信用资质优异，是金融机构在包装材料与医药配套领域最值得配置的核心客户之一，风险等级低。</w:t>
      </w:r>
    </w:p>
    <w:p>
      <w:pPr>
        <w:spacing w:lineRule="exact" w:line="600" w:before="120" w:after="120"/>
        <w:ind w:firstLine="420"/>
        <w:jc w:val="left"/>
      </w:pPr>
      <w:r>
        <w:rPr>
          <w:rFonts w:ascii="楷体_GB2312" w:hAnsi="楷体_GB2312" w:eastAsia="楷体_GB2312"/>
          <w:b w:val="0"/>
          <w:color w:val="000000"/>
          <w:sz w:val="32"/>
        </w:rPr>
        <w:t>（二）未来发展展望</w:t>
      </w:r>
    </w:p>
    <w:p>
      <w:pPr>
        <w:spacing w:lineRule="exact" w:line="600" w:before="0" w:after="0"/>
        <w:ind w:firstLine="420"/>
        <w:jc w:val="both"/>
      </w:pPr>
      <w:r>
        <w:rPr>
          <w:rFonts w:ascii="仿宋_GB2312" w:hAnsi="仿宋_GB2312" w:eastAsia="仿宋_GB2312"/>
          <w:b w:val="0"/>
          <w:color w:val="000000"/>
          <w:sz w:val="32"/>
        </w:rPr>
        <w:t>据公司公开经营方针与行业趋势，未来发展的主要看点有三：一是国药集团入主带来的战略赋能。据市场分析，该事项有望为公司破解发展瓶颈、拓展海外布局注入动力，央企平台的资源整合能力与全球渠道是最大的想象空间。二是中硼硅国产替代的长期趋势。随着我国药包材质量标准与制剂国际化水平提升，中硼硅玻璃对钠钙玻璃的替代是不可逆的方向，公司是最大受益者。三是海外市场拓展。2025年海外收入占比已达33.56%，在国内需求波动时提供了重要缓冲，未来占比有望继续提升。</w:t>
      </w:r>
    </w:p>
    <w:p>
      <w:pPr>
        <w:spacing w:lineRule="exact" w:line="600" w:before="0" w:after="0"/>
        <w:ind w:firstLine="420"/>
        <w:jc w:val="both"/>
      </w:pPr>
      <w:r>
        <w:rPr>
          <w:rFonts w:ascii="仿宋_GB2312" w:hAnsi="仿宋_GB2312" w:eastAsia="仿宋_GB2312"/>
          <w:b w:val="0"/>
          <w:color w:val="000000"/>
          <w:sz w:val="32"/>
        </w:rPr>
        <w:t>需求端的关键变量是国内制药企业采购需求何时回暖，这取决于医药行业整体景气度与集采政策的边际变化。以上属行业趋势判断，本报告不作具体数值预测。</w:t>
      </w:r>
    </w:p>
    <w:p>
      <w:pPr>
        <w:spacing w:lineRule="exact" w:line="600" w:before="120" w:after="120"/>
        <w:ind w:firstLine="420"/>
        <w:jc w:val="left"/>
      </w:pPr>
      <w:r>
        <w:rPr>
          <w:rFonts w:ascii="楷体_GB2312" w:hAnsi="楷体_GB2312" w:eastAsia="楷体_GB2312"/>
          <w:b w:val="0"/>
          <w:color w:val="000000"/>
          <w:sz w:val="32"/>
        </w:rPr>
        <w:t>（三）面临的挑战</w:t>
      </w:r>
    </w:p>
    <w:p>
      <w:pPr>
        <w:spacing w:lineRule="exact" w:line="600" w:before="0" w:after="0"/>
        <w:ind w:firstLine="420"/>
        <w:jc w:val="both"/>
      </w:pPr>
      <w:r>
        <w:rPr>
          <w:rFonts w:ascii="仿宋_GB2312" w:hAnsi="仿宋_GB2312" w:eastAsia="仿宋_GB2312"/>
          <w:b w:val="0"/>
          <w:color w:val="000000"/>
          <w:sz w:val="32"/>
        </w:rPr>
        <w:t>一是需求恢复的不确定性。公司业绩高度依赖下游制药企业的采购意愿，而这一变量基本不在公司控制范围之内。二是产能刚性与存货管理的长期矛盾。窑炉连续生产的工艺特性决定了公司无法通过灵活减产来匹配需求波动，如何在窑炉大修节奏与市场需求之间找到最优平衡，是持续的管理课题。三是资本效率的提升。约17%的资产负债率虽然安全，但也意味着大量资本闲置，ROE被结构性压低。四是弱势品类的处置。管制瓶（毛利率1.70%）与安瓿瓶（收入同比下滑19.64%）需要明确的战略取舍。</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结论：山东药玻是一家护城河深厚、财务极其稳健的细分行业龙头，2025年的业绩下滑属周期性而非结构性，其长期投资与授信价值不受影响。在国药集团入主后，公司有望迎来新的发展阶段。</w:t>
      </w:r>
    </w:p>
    <w:p>
      <w:pPr>
        <w:spacing w:lineRule="exact" w:line="600" w:before="0" w:after="0"/>
        <w:ind w:firstLine="420"/>
        <w:jc w:val="both"/>
      </w:pPr>
      <w:r>
        <w:rPr>
          <w:rFonts w:ascii="仿宋_GB2312" w:hAnsi="仿宋_GB2312" w:eastAsia="仿宋_GB2312"/>
          <w:b w:val="0"/>
          <w:color w:val="000000"/>
          <w:sz w:val="32"/>
        </w:rPr>
        <w:t>对企业的建议：一是加快经营现金流的修复，将存货管理与应收账款回款作为2026年经营重点；二是对管制瓶、安瓿瓶等低效品类进行战略评估，或通过技术升级提升附加值，或将产能腾挪至中硼硅高毛利产品；三是适度提升财务杠杆，通过售后回租、发行债券等方式优化资本结构、提升股东回报；四是把握国药集团入主契机，加快海外市场布局。</w:t>
      </w:r>
    </w:p>
    <w:p>
      <w:pPr>
        <w:spacing w:lineRule="exact" w:line="600" w:before="0" w:after="0"/>
        <w:ind w:firstLine="420"/>
        <w:jc w:val="both"/>
      </w:pPr>
      <w:r>
        <w:rPr>
          <w:rFonts w:ascii="仿宋_GB2312" w:hAnsi="仿宋_GB2312" w:eastAsia="仿宋_GB2312"/>
          <w:b w:val="0"/>
          <w:color w:val="000000"/>
          <w:sz w:val="32"/>
        </w:rPr>
        <w:t>对山东投资的建议：一是将公司纳入最高信用等级客户名单，重点以融资租赁（尤其是窑炉售后回租）作为切入产品，主打"提升资本效率"而非"解决资金短缺"的价值主张；二是以公司为核心企业开展反向保理，服务其上游中小供应商，这是风险最低、社会效益最好的业务方向；三是跟踪国药集团入主进展，在控制权变更完成后适时推动更高层次的战略合作；四是重点监测其经营活动现金流与存货周转两项指标的季度变化，作为业务规模调整的依据。</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ind w:firstLine="420"/>
        <w:jc w:val="both"/>
      </w:pPr>
      <w:r>
        <w:rPr>
          <w:rFonts w:ascii="仿宋_GB2312" w:hAnsi="仿宋_GB2312" w:eastAsia="仿宋_GB2312"/>
          <w:b w:val="0"/>
          <w:color w:val="000000"/>
          <w:sz w:val="32"/>
        </w:rPr>
        <w:t>1. 山东省药用玻璃股份有限公司《2025年年度报告》（上海证券交易所指定披露渠道，巨潮资讯网，2026年3月7日）。</w:t>
      </w:r>
    </w:p>
    <w:p>
      <w:pPr>
        <w:spacing w:lineRule="exact" w:line="600" w:before="0" w:after="0"/>
        <w:ind w:firstLine="420"/>
        <w:jc w:val="both"/>
      </w:pPr>
      <w:r>
        <w:rPr>
          <w:rFonts w:ascii="仿宋_GB2312" w:hAnsi="仿宋_GB2312" w:eastAsia="仿宋_GB2312"/>
          <w:b w:val="0"/>
          <w:color w:val="000000"/>
          <w:sz w:val="32"/>
        </w:rPr>
        <w:t>2. 中证智能财讯《山东药玻：2025年净利润6.9亿元 拟10派1.8元》（中国证券报，2026年3月6日）。</w:t>
      </w:r>
    </w:p>
    <w:p>
      <w:pPr>
        <w:spacing w:lineRule="exact" w:line="600" w:before="0" w:after="0"/>
        <w:ind w:firstLine="420"/>
        <w:jc w:val="both"/>
      </w:pPr>
      <w:r>
        <w:rPr>
          <w:rFonts w:ascii="仿宋_GB2312" w:hAnsi="仿宋_GB2312" w:eastAsia="仿宋_GB2312"/>
          <w:b w:val="0"/>
          <w:color w:val="000000"/>
          <w:sz w:val="32"/>
        </w:rPr>
        <w:t>3. 《华夏时报》《山东药玻2025年净利同比降近三成，国药集团入主，有望拓展海外布局》（2026年3月26日），含公司2026年3月23日业绩说明会总经理张军公开答复内容。</w:t>
      </w:r>
    </w:p>
    <w:p>
      <w:pPr>
        <w:spacing w:lineRule="exact" w:line="600" w:before="0" w:after="0"/>
        <w:ind w:firstLine="420"/>
        <w:jc w:val="both"/>
      </w:pPr>
      <w:r>
        <w:rPr>
          <w:rFonts w:ascii="仿宋_GB2312" w:hAnsi="仿宋_GB2312" w:eastAsia="仿宋_GB2312"/>
          <w:b w:val="0"/>
          <w:color w:val="000000"/>
          <w:sz w:val="32"/>
        </w:rPr>
        <w:t>4. 公开A股财务指标数据库山东药玻（600529.SH）2025年年报主营构成与财务指标数据。</w:t>
      </w:r>
    </w:p>
    <w:p>
      <w:pPr>
        <w:spacing w:lineRule="exact" w:line="600" w:before="0" w:after="0"/>
        <w:ind w:firstLine="420"/>
        <w:jc w:val="both"/>
      </w:pPr>
      <w:r>
        <w:rPr>
          <w:rFonts w:ascii="仿宋_GB2312" w:hAnsi="仿宋_GB2312" w:eastAsia="仿宋_GB2312"/>
          <w:b w:val="0"/>
          <w:color w:val="000000"/>
          <w:sz w:val="32"/>
        </w:rPr>
        <w:t>5. 山东药玻公司官方网站（http://www.pharmglass.com）公开信息。</w:t>
      </w:r>
    </w:p>
    <w:p>
      <w:pPr>
        <w:spacing w:lineRule="exact" w:line="600" w:before="0" w:after="0"/>
        <w:jc w:val="left"/>
      </w:pPr>
      <w:r>
        <w:rPr>
          <w:rFonts w:ascii="仿宋_GB2312" w:hAnsi="仿宋_GB2312" w:eastAsia="仿宋_GB2312"/>
          <w:b w:val="0"/>
          <w:color w:val="000000"/>
          <w:sz w:val="28"/>
        </w:rPr>
        <w:t>（说明：本报告所引用财务数据均来自上市公司经审计定期报告或交易所指定披露渠道，未经审计的期间数据已在文中注明；对未公开披露的经营细节，本报告不作数字推测，仅作定性描述。报告结论供内部投融资决策参考，不构成投资建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