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山东滨州惠民（绳网）特色产业集群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山东滨州安惠绳网集团企业分析报告</w:t>
      </w:r>
    </w:p>
    <w:p>
      <w:pPr>
        <w:spacing w:lineRule="exact" w:line="600" w:before="0" w:after="0"/>
        <w:jc w:val="left"/>
      </w:pPr>
      <w:r>
        <w:rPr>
          <w:rFonts w:ascii="仿宋_GB2312" w:hAnsi="仿宋_GB2312" w:eastAsia="仿宋_GB2312"/>
          <w:b w:val="0"/>
          <w:color w:val="000000"/>
          <w:sz w:val="28"/>
        </w:rPr>
        <w:t>（本报告分析对象工商登记全称为"山东滨州安惠绳网集团有限责任公司"，统一社会信用代码91371621166993401N，与批次名单所列"山东滨州安惠绳网集团"系同一主体的简称与全称关系。本报告数据来源于国家企业信用信息公示系统及天眼查、企查查工商登记信息，公司官方网站 www.binzhouanhui.com，惠民县人民政府门户网站公开文件，滨州日报、人民网等权威媒体公开报道，统计时点截至2026年8月。公司为非上市有限责任公司，未公开披露经审计的定期财务报告，本报告中凡涉及具体财务数据之处均如实标注"财务数据未公开披露"，企业自主宣传口径数据已单独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（一）产业集群背景</w:t>
      </w:r>
    </w:p>
    <w:p>
      <w:pPr>
        <w:spacing w:lineRule="exact" w:line="600" w:before="0" w:after="0"/>
        <w:ind w:firstLine="420"/>
        <w:jc w:val="both"/>
      </w:pPr>
      <w:r>
        <w:rPr>
          <w:rFonts w:ascii="仿宋_GB2312" w:hAnsi="仿宋_GB2312" w:eastAsia="仿宋_GB2312"/>
          <w:b w:val="0"/>
          <w:color w:val="000000"/>
          <w:sz w:val="32"/>
        </w:rPr>
        <w:t>滨州市惠民县是全国最大的新型绳网生产基地，被授予"中国塑料绳网之都""中国绳网名城"称号。当地绳网产业发端于明朝初年的车马挽具制作技艺，距今已有三百余年历史，二十世纪八十年代由"作鞭制绳"的家庭手艺演进为乡镇工业，改革开放后原材料由棉线、皮革全面转向化纤，生产方式由家庭作坊转向规模化工厂。据惠民县人民政府2025年6月对县十九届人大四次会议第1904042号建议的公开答复，全县现有绳网企业4257家，其中规模以上绳网企业89家，加工业户7100余户，从业人员12万余人，产品出口德国、日本、美国等103个国家和地区，2024年绳网产业实现产值300亿元（另有302亿元口径），同比增长15.38%，市场占有率约占全国的80%。</w:t>
      </w:r>
    </w:p>
    <w:p>
      <w:pPr>
        <w:spacing w:lineRule="exact" w:line="600" w:before="0" w:after="0"/>
        <w:ind w:firstLine="420"/>
        <w:jc w:val="both"/>
      </w:pPr>
      <w:r>
        <w:rPr>
          <w:rFonts w:ascii="仿宋_GB2312" w:hAnsi="仿宋_GB2312" w:eastAsia="仿宋_GB2312"/>
          <w:b w:val="0"/>
          <w:color w:val="000000"/>
          <w:sz w:val="32"/>
        </w:rPr>
        <w:t>该集群于2024年度获批国家级中小企业特色产业集群，同时入选山东省十强"雁阵形"产业集群、山东省特色产业集群、工业和信息化部重点培育纺织服装百家品牌，并列入中国纺织行业年工业总产值超百亿产业集群地区名单。产业空间上以李庄镇、姜楼镇为双核：李庄镇以建筑安全网、农业用网、遮阳网、体育休闲网为主，姜楼镇则以安全带、安全绳、密目式安全立网等特种劳动防护用品为主导方向，形成了较为鲜明的镇域分工。本报告分析对象所在的姜楼镇，是全县特种劳动防护用品生产最为集中的区域，2025年4月第108届中国国际劳动保护用品交易会暨中国国际职业安全及健康产业博览会在上海召开期间，姜楼镇即有11家绳网企业组团参展。</w:t>
      </w:r>
    </w:p>
    <w:p>
      <w:pPr>
        <w:spacing w:lineRule="exact" w:line="600" w:before="0" w:after="0"/>
        <w:ind w:firstLine="420"/>
        <w:jc w:val="both"/>
      </w:pPr>
      <w:r>
        <w:rPr>
          <w:rFonts w:ascii="仿宋_GB2312" w:hAnsi="仿宋_GB2312" w:eastAsia="仿宋_GB2312"/>
          <w:b w:val="0"/>
          <w:color w:val="000000"/>
          <w:sz w:val="32"/>
        </w:rPr>
        <w:t>为推动产业由"量的积累"迈向"质的飞跃"，惠民县于2024年9月成立由县委、县政府主要领导任总指挥的中国绳网产业新城建设指挥部，实体化集中办公；2025年进一步成立绳网产业新城管理服务中心，统筹规划设计、项目招引与政策支持。中国绳网产业新城围绕原材料供应、机械设备制造、跨境电商、智慧仓储等上下游环节谋划重点项目48个，总投资479.23亿元，其中实施类项目25个、总投资138.63亿元。惠民县还在李庄、姜楼等绳网重镇设立行政审批分中心，整合"一类事"实现"就近办"，依托国家追溯平台建立"一码贯通"机制，培育22家质量安全达标示范企业，累计申请专利800余项、软著50余项。产业发展目标是打造千亿级国家特色产业集群和"世界绳网之都"。</w:t>
      </w:r>
    </w:p>
    <w:p>
      <w:pPr>
        <w:spacing w:lineRule="exact" w:line="600" w:before="0" w:after="0"/>
        <w:ind w:firstLine="420"/>
        <w:jc w:val="both"/>
      </w:pPr>
      <w:r>
        <w:rPr>
          <w:rFonts w:ascii="仿宋_GB2312" w:hAnsi="仿宋_GB2312" w:eastAsia="仿宋_GB2312"/>
          <w:b w:val="0"/>
          <w:color w:val="000000"/>
          <w:sz w:val="32"/>
        </w:rPr>
        <w:t>从细分赛道看，特种劳动防护用品（安全网、安全带、安全绳、密目式安全立网、高空软梯、坐板吊具等）与普通绳网制品存在显著差异：其一，产品直接关系高空作业人员生命安全，实行生产许可、强制性产品认证与监督抽查的严格管理，行业准入门槛远高于普通网具；其二，主要客户为大型建筑施工企业、基础设施建设单位与安全生产监管体系内的采购主体，普遍采用集中招标、合格供应商名录管理方式，一旦进入核心供应商体系则粘性极强；其三，产品质量事故的法律后果严重，企业须承担持续的质量管理与检测投入。这一细分领域的竞争逻辑是"资质+品牌+渠道"三位一体，而非单纯的成本竞争，头部企业具备较为稳固的护城河。</w:t>
      </w:r>
    </w:p>
    <w:p>
      <w:pPr>
        <w:spacing w:lineRule="exact" w:line="600" w:before="120" w:after="120"/>
        <w:ind w:firstLine="420"/>
        <w:jc w:val="left"/>
      </w:pPr>
      <w:r>
        <w:rPr>
          <w:rFonts w:ascii="楷体_GB2312" w:hAnsi="楷体_GB2312" w:eastAsia="楷体_GB2312"/>
          <w:b w:val="0"/>
          <w:color w:val="000000"/>
          <w:sz w:val="32"/>
        </w:rPr>
        <w:t>（二）企业沿革与工商登记信息</w:t>
      </w:r>
    </w:p>
    <w:p>
      <w:pPr>
        <w:spacing w:lineRule="exact" w:line="600" w:before="0" w:after="0"/>
        <w:ind w:firstLine="420"/>
        <w:jc w:val="both"/>
      </w:pPr>
      <w:r>
        <w:rPr>
          <w:rFonts w:ascii="仿宋_GB2312" w:hAnsi="仿宋_GB2312" w:eastAsia="仿宋_GB2312"/>
          <w:b w:val="0"/>
          <w:color w:val="000000"/>
          <w:sz w:val="32"/>
        </w:rPr>
        <w:t>山东滨州安惠绳网集团有限责任公司（以下简称"安惠绳网"或"公司"）坐落于鲁北平原、孙子故里，位于济南至滨州220国道中段的惠民县姜楼镇政府驻地。据公司官方网站披露，企业始建于1970年，前身为当地集体所有制的绳网生产单位，历经改制于1997年11月7日完成公司制登记，是惠民绳网产业中历史最为悠久、沿革最为完整的企业之一。公司自述"安惠集团走过了三十多年光辉历程"，与1997年公司制登记的时点相互印证。</w:t>
      </w:r>
    </w:p>
    <w:p>
      <w:pPr>
        <w:spacing w:lineRule="exact" w:line="600" w:before="0" w:after="0"/>
        <w:ind w:firstLine="420"/>
        <w:jc w:val="both"/>
      </w:pPr>
      <w:r>
        <w:rPr>
          <w:rFonts w:ascii="仿宋_GB2312" w:hAnsi="仿宋_GB2312" w:eastAsia="仿宋_GB2312"/>
          <w:b w:val="0"/>
          <w:color w:val="000000"/>
          <w:sz w:val="32"/>
        </w:rPr>
        <w:t>需要说明的是，公开渠道对公司成立时间存在两种表述：工商登记的成立日期为1997年11月7日，企业自述及部分行业平台记载为"始建于1970年"。前者为法律意义上的现存法人主体设立时间，后者为企业沿革的历史起点，二者并不矛盾，但在计算企业存续年限、认定经营历史时应以工商登记为准。同理，公司注册资金亦存在2000万元（现行工商登记）与587万元（中国安防网等行业平台历史页面）两种记载，后者应为历史增资前的旧数据。</w:t>
      </w:r>
    </w:p>
    <w:tbl>
      <w:tblPr>
        <w:tblStyle w:val="TableGrid"/>
        <w:tblW w:type="auto" w:w="0"/>
        <w:jc w:val="center"/>
        <w:tblLook w:firstColumn="1" w:firstRow="1" w:lastColumn="0" w:lastRow="0" w:noHBand="0" w:noVBand="1" w:val="04A0"/>
      </w:tblPr>
      <w:tblGrid>
        <w:gridCol w:w="4422"/>
        <w:gridCol w:w="4422"/>
      </w:tblGrid>
      <w:tr>
        <w:tc>
          <w:tcPr>
            <w:tcW w:type="dxa" w:w="4422"/>
          </w:tcPr>
          <w:p>
            <w:pPr>
              <w:spacing w:lineRule="exact" w:line="600"/>
              <w:jc w:val="center"/>
            </w:pPr>
            <w:r/>
            <w:r>
              <w:rPr>
                <w:rFonts w:ascii="黑体" w:hAnsi="黑体" w:eastAsia="黑体"/>
                <w:b/>
                <w:color w:val="000000"/>
                <w:sz w:val="32"/>
              </w:rPr>
              <w:t>登记项目</w:t>
            </w:r>
          </w:p>
        </w:tc>
        <w:tc>
          <w:tcPr>
            <w:tcW w:type="dxa" w:w="4422"/>
          </w:tcPr>
          <w:p>
            <w:pPr>
              <w:spacing w:lineRule="exact" w:line="600"/>
              <w:jc w:val="center"/>
            </w:pPr>
            <w:r/>
            <w:r>
              <w:rPr>
                <w:rFonts w:ascii="黑体" w:hAnsi="黑体" w:eastAsia="黑体"/>
                <w:b/>
                <w:color w:val="000000"/>
                <w:sz w:val="32"/>
              </w:rPr>
              <w:t>登记内容</w:t>
            </w:r>
          </w:p>
        </w:tc>
      </w:tr>
      <w:tr>
        <w:tc>
          <w:tcPr>
            <w:tcW w:type="dxa" w:w="4422"/>
          </w:tcPr>
          <w:p>
            <w:pPr>
              <w:spacing w:lineRule="exact" w:line="600"/>
              <w:jc w:val="center"/>
            </w:pPr>
            <w:r/>
            <w:r>
              <w:rPr>
                <w:rFonts w:ascii="仿宋_GB2312" w:hAnsi="仿宋_GB2312" w:eastAsia="仿宋_GB2312"/>
                <w:b w:val="0"/>
                <w:color w:val="000000"/>
                <w:sz w:val="32"/>
              </w:rPr>
              <w:t>企业名称</w:t>
            </w:r>
          </w:p>
        </w:tc>
        <w:tc>
          <w:tcPr>
            <w:tcW w:type="dxa" w:w="4422"/>
          </w:tcPr>
          <w:p>
            <w:pPr>
              <w:spacing w:lineRule="exact" w:line="600"/>
              <w:jc w:val="center"/>
            </w:pPr>
            <w:r/>
            <w:r>
              <w:rPr>
                <w:rFonts w:ascii="仿宋_GB2312" w:hAnsi="仿宋_GB2312" w:eastAsia="仿宋_GB2312"/>
                <w:b w:val="0"/>
                <w:color w:val="000000"/>
                <w:sz w:val="32"/>
              </w:rPr>
              <w:t>山东滨州安惠绳网集团有限责任公司</w:t>
            </w:r>
          </w:p>
        </w:tc>
      </w:tr>
      <w:tr>
        <w:tc>
          <w:tcPr>
            <w:tcW w:type="dxa" w:w="4422"/>
          </w:tcPr>
          <w:p>
            <w:pPr>
              <w:spacing w:lineRule="exact" w:line="600"/>
              <w:jc w:val="center"/>
            </w:pPr>
            <w:r/>
            <w:r>
              <w:rPr>
                <w:rFonts w:ascii="仿宋_GB2312" w:hAnsi="仿宋_GB2312" w:eastAsia="仿宋_GB2312"/>
                <w:b w:val="0"/>
                <w:color w:val="000000"/>
                <w:sz w:val="32"/>
              </w:rPr>
              <w:t>英文名称</w:t>
            </w:r>
          </w:p>
        </w:tc>
        <w:tc>
          <w:tcPr>
            <w:tcW w:type="dxa" w:w="4422"/>
          </w:tcPr>
          <w:p>
            <w:pPr>
              <w:spacing w:lineRule="exact" w:line="600"/>
              <w:jc w:val="center"/>
            </w:pPr>
            <w:r/>
            <w:r>
              <w:rPr>
                <w:rFonts w:ascii="仿宋_GB2312" w:hAnsi="仿宋_GB2312" w:eastAsia="仿宋_GB2312"/>
                <w:b w:val="0"/>
                <w:color w:val="000000"/>
                <w:sz w:val="32"/>
              </w:rPr>
              <w:t>SHANDONG BINZHOU ANHUI ROPE NET CO., LTD.</w:t>
            </w:r>
          </w:p>
        </w:tc>
      </w:tr>
      <w:tr>
        <w:tc>
          <w:tcPr>
            <w:tcW w:type="dxa" w:w="4422"/>
          </w:tcPr>
          <w:p>
            <w:pPr>
              <w:spacing w:lineRule="exact" w:line="600"/>
              <w:jc w:val="center"/>
            </w:pPr>
            <w:r/>
            <w:r>
              <w:rPr>
                <w:rFonts w:ascii="仿宋_GB2312" w:hAnsi="仿宋_GB2312" w:eastAsia="仿宋_GB2312"/>
                <w:b w:val="0"/>
                <w:color w:val="000000"/>
                <w:sz w:val="32"/>
              </w:rPr>
              <w:t>统一社会信用代码</w:t>
            </w:r>
          </w:p>
        </w:tc>
        <w:tc>
          <w:tcPr>
            <w:tcW w:type="dxa" w:w="4422"/>
          </w:tcPr>
          <w:p>
            <w:pPr>
              <w:spacing w:lineRule="exact" w:line="600"/>
              <w:jc w:val="center"/>
            </w:pPr>
            <w:r/>
            <w:r>
              <w:rPr>
                <w:rFonts w:ascii="仿宋_GB2312" w:hAnsi="仿宋_GB2312" w:eastAsia="仿宋_GB2312"/>
                <w:b w:val="0"/>
                <w:color w:val="000000"/>
                <w:sz w:val="32"/>
              </w:rPr>
              <w:t>91371621166993401N</w:t>
            </w:r>
          </w:p>
        </w:tc>
      </w:tr>
      <w:tr>
        <w:tc>
          <w:tcPr>
            <w:tcW w:type="dxa" w:w="4422"/>
          </w:tcPr>
          <w:p>
            <w:pPr>
              <w:spacing w:lineRule="exact" w:line="600"/>
              <w:jc w:val="center"/>
            </w:pPr>
            <w:r/>
            <w:r>
              <w:rPr>
                <w:rFonts w:ascii="仿宋_GB2312" w:hAnsi="仿宋_GB2312" w:eastAsia="仿宋_GB2312"/>
                <w:b w:val="0"/>
                <w:color w:val="000000"/>
                <w:sz w:val="32"/>
              </w:rPr>
              <w:t>注册号</w:t>
            </w:r>
          </w:p>
        </w:tc>
        <w:tc>
          <w:tcPr>
            <w:tcW w:type="dxa" w:w="4422"/>
          </w:tcPr>
          <w:p>
            <w:pPr>
              <w:spacing w:lineRule="exact" w:line="600"/>
              <w:jc w:val="center"/>
            </w:pPr>
            <w:r/>
            <w:r>
              <w:rPr>
                <w:rFonts w:ascii="仿宋_GB2312" w:hAnsi="仿宋_GB2312" w:eastAsia="仿宋_GB2312"/>
                <w:b w:val="0"/>
                <w:color w:val="000000"/>
                <w:sz w:val="32"/>
              </w:rPr>
              <w:t>371621018002174</w:t>
            </w:r>
          </w:p>
        </w:tc>
      </w:tr>
      <w:tr>
        <w:tc>
          <w:tcPr>
            <w:tcW w:type="dxa" w:w="4422"/>
          </w:tcPr>
          <w:p>
            <w:pPr>
              <w:spacing w:lineRule="exact" w:line="600"/>
              <w:jc w:val="center"/>
            </w:pPr>
            <w:r/>
            <w:r>
              <w:rPr>
                <w:rFonts w:ascii="仿宋_GB2312" w:hAnsi="仿宋_GB2312" w:eastAsia="仿宋_GB2312"/>
                <w:b w:val="0"/>
                <w:color w:val="000000"/>
                <w:sz w:val="32"/>
              </w:rPr>
              <w:t>组织机构代码</w:t>
            </w:r>
          </w:p>
        </w:tc>
        <w:tc>
          <w:tcPr>
            <w:tcW w:type="dxa" w:w="4422"/>
          </w:tcPr>
          <w:p>
            <w:pPr>
              <w:spacing w:lineRule="exact" w:line="600"/>
              <w:jc w:val="center"/>
            </w:pPr>
            <w:r/>
            <w:r>
              <w:rPr>
                <w:rFonts w:ascii="仿宋_GB2312" w:hAnsi="仿宋_GB2312" w:eastAsia="仿宋_GB2312"/>
                <w:b w:val="0"/>
                <w:color w:val="000000"/>
                <w:sz w:val="32"/>
              </w:rPr>
              <w:t>16699340-1</w:t>
            </w:r>
          </w:p>
        </w:tc>
      </w:tr>
      <w:tr>
        <w:tc>
          <w:tcPr>
            <w:tcW w:type="dxa" w:w="4422"/>
          </w:tcPr>
          <w:p>
            <w:pPr>
              <w:spacing w:lineRule="exact" w:line="600"/>
              <w:jc w:val="center"/>
            </w:pPr>
            <w:r/>
            <w:r>
              <w:rPr>
                <w:rFonts w:ascii="仿宋_GB2312" w:hAnsi="仿宋_GB2312" w:eastAsia="仿宋_GB2312"/>
                <w:b w:val="0"/>
                <w:color w:val="000000"/>
                <w:sz w:val="32"/>
              </w:rPr>
              <w:t>法定代表人</w:t>
            </w:r>
          </w:p>
        </w:tc>
        <w:tc>
          <w:tcPr>
            <w:tcW w:type="dxa" w:w="4422"/>
          </w:tcPr>
          <w:p>
            <w:pPr>
              <w:spacing w:lineRule="exact" w:line="600"/>
              <w:jc w:val="center"/>
            </w:pPr>
            <w:r/>
            <w:r>
              <w:rPr>
                <w:rFonts w:ascii="仿宋_GB2312" w:hAnsi="仿宋_GB2312" w:eastAsia="仿宋_GB2312"/>
                <w:b w:val="0"/>
                <w:color w:val="000000"/>
                <w:sz w:val="32"/>
              </w:rPr>
              <w:t>高风花</w:t>
            </w:r>
          </w:p>
        </w:tc>
      </w:tr>
      <w:tr>
        <w:tc>
          <w:tcPr>
            <w:tcW w:type="dxa" w:w="4422"/>
          </w:tcPr>
          <w:p>
            <w:pPr>
              <w:spacing w:lineRule="exact" w:line="600"/>
              <w:jc w:val="center"/>
            </w:pPr>
            <w:r/>
            <w:r>
              <w:rPr>
                <w:rFonts w:ascii="仿宋_GB2312" w:hAnsi="仿宋_GB2312" w:eastAsia="仿宋_GB2312"/>
                <w:b w:val="0"/>
                <w:color w:val="000000"/>
                <w:sz w:val="32"/>
              </w:rPr>
              <w:t>企业类型</w:t>
            </w:r>
          </w:p>
        </w:tc>
        <w:tc>
          <w:tcPr>
            <w:tcW w:type="dxa" w:w="4422"/>
          </w:tcPr>
          <w:p>
            <w:pPr>
              <w:spacing w:lineRule="exact" w:line="600"/>
              <w:jc w:val="center"/>
            </w:pPr>
            <w:r/>
            <w:r>
              <w:rPr>
                <w:rFonts w:ascii="仿宋_GB2312" w:hAnsi="仿宋_GB2312" w:eastAsia="仿宋_GB2312"/>
                <w:b w:val="0"/>
                <w:color w:val="000000"/>
                <w:sz w:val="32"/>
              </w:rPr>
              <w:t>有限责任公司（自然人投资或控股）</w:t>
            </w:r>
          </w:p>
        </w:tc>
      </w:tr>
      <w:tr>
        <w:tc>
          <w:tcPr>
            <w:tcW w:type="dxa" w:w="4422"/>
          </w:tcPr>
          <w:p>
            <w:pPr>
              <w:spacing w:lineRule="exact" w:line="600"/>
              <w:jc w:val="center"/>
            </w:pPr>
            <w:r/>
            <w:r>
              <w:rPr>
                <w:rFonts w:ascii="仿宋_GB2312" w:hAnsi="仿宋_GB2312" w:eastAsia="仿宋_GB2312"/>
                <w:b w:val="0"/>
                <w:color w:val="000000"/>
                <w:sz w:val="32"/>
              </w:rPr>
              <w:t>成立日期</w:t>
            </w:r>
          </w:p>
        </w:tc>
        <w:tc>
          <w:tcPr>
            <w:tcW w:type="dxa" w:w="4422"/>
          </w:tcPr>
          <w:p>
            <w:pPr>
              <w:spacing w:lineRule="exact" w:line="600"/>
              <w:jc w:val="center"/>
            </w:pPr>
            <w:r/>
            <w:r>
              <w:rPr>
                <w:rFonts w:ascii="仿宋_GB2312" w:hAnsi="仿宋_GB2312" w:eastAsia="仿宋_GB2312"/>
                <w:b w:val="0"/>
                <w:color w:val="000000"/>
                <w:sz w:val="32"/>
              </w:rPr>
              <w:t>1997年11月7日（企业自述始建于1970年）</w:t>
            </w:r>
          </w:p>
        </w:tc>
      </w:tr>
      <w:tr>
        <w:tc>
          <w:tcPr>
            <w:tcW w:type="dxa" w:w="4422"/>
          </w:tcPr>
          <w:p>
            <w:pPr>
              <w:spacing w:lineRule="exact" w:line="600"/>
              <w:jc w:val="center"/>
            </w:pPr>
            <w:r/>
            <w:r>
              <w:rPr>
                <w:rFonts w:ascii="仿宋_GB2312" w:hAnsi="仿宋_GB2312" w:eastAsia="仿宋_GB2312"/>
                <w:b w:val="0"/>
                <w:color w:val="000000"/>
                <w:sz w:val="32"/>
              </w:rPr>
              <w:t>注册资本</w:t>
            </w:r>
          </w:p>
        </w:tc>
        <w:tc>
          <w:tcPr>
            <w:tcW w:type="dxa" w:w="4422"/>
          </w:tcPr>
          <w:p>
            <w:pPr>
              <w:spacing w:lineRule="exact" w:line="600"/>
              <w:jc w:val="center"/>
            </w:pPr>
            <w:r/>
            <w:r>
              <w:rPr>
                <w:rFonts w:ascii="仿宋_GB2312" w:hAnsi="仿宋_GB2312" w:eastAsia="仿宋_GB2312"/>
                <w:b w:val="0"/>
                <w:color w:val="000000"/>
                <w:sz w:val="32"/>
              </w:rPr>
              <w:t>2000万元人民币</w:t>
            </w:r>
          </w:p>
        </w:tc>
      </w:tr>
      <w:tr>
        <w:tc>
          <w:tcPr>
            <w:tcW w:type="dxa" w:w="4422"/>
          </w:tcPr>
          <w:p>
            <w:pPr>
              <w:spacing w:lineRule="exact" w:line="600"/>
              <w:jc w:val="center"/>
            </w:pPr>
            <w:r/>
            <w:r>
              <w:rPr>
                <w:rFonts w:ascii="仿宋_GB2312" w:hAnsi="仿宋_GB2312" w:eastAsia="仿宋_GB2312"/>
                <w:b w:val="0"/>
                <w:color w:val="000000"/>
                <w:sz w:val="32"/>
              </w:rPr>
              <w:t>实缴资本</w:t>
            </w:r>
          </w:p>
        </w:tc>
        <w:tc>
          <w:tcPr>
            <w:tcW w:type="dxa" w:w="4422"/>
          </w:tcPr>
          <w:p>
            <w:pPr>
              <w:spacing w:lineRule="exact" w:line="600"/>
              <w:jc w:val="center"/>
            </w:pPr>
            <w:r/>
            <w:r>
              <w:rPr>
                <w:rFonts w:ascii="仿宋_GB2312" w:hAnsi="仿宋_GB2312" w:eastAsia="仿宋_GB2312"/>
                <w:b w:val="0"/>
                <w:color w:val="000000"/>
                <w:sz w:val="32"/>
              </w:rPr>
              <w:t>2000万元人民币</w:t>
            </w:r>
          </w:p>
        </w:tc>
      </w:tr>
      <w:tr>
        <w:tc>
          <w:tcPr>
            <w:tcW w:type="dxa" w:w="4422"/>
          </w:tcPr>
          <w:p>
            <w:pPr>
              <w:spacing w:lineRule="exact" w:line="600"/>
              <w:jc w:val="center"/>
            </w:pPr>
            <w:r/>
            <w:r>
              <w:rPr>
                <w:rFonts w:ascii="仿宋_GB2312" w:hAnsi="仿宋_GB2312" w:eastAsia="仿宋_GB2312"/>
                <w:b w:val="0"/>
                <w:color w:val="000000"/>
                <w:sz w:val="32"/>
              </w:rPr>
              <w:t>登记状态</w:t>
            </w:r>
          </w:p>
        </w:tc>
        <w:tc>
          <w:tcPr>
            <w:tcW w:type="dxa" w:w="4422"/>
          </w:tcPr>
          <w:p>
            <w:pPr>
              <w:spacing w:lineRule="exact" w:line="600"/>
              <w:jc w:val="center"/>
            </w:pPr>
            <w:r/>
            <w:r>
              <w:rPr>
                <w:rFonts w:ascii="仿宋_GB2312" w:hAnsi="仿宋_GB2312" w:eastAsia="仿宋_GB2312"/>
                <w:b w:val="0"/>
                <w:color w:val="000000"/>
                <w:sz w:val="32"/>
              </w:rPr>
              <w:t>存续（在营、开业、在册）</w:t>
            </w:r>
          </w:p>
        </w:tc>
      </w:tr>
      <w:tr>
        <w:tc>
          <w:tcPr>
            <w:tcW w:type="dxa" w:w="4422"/>
          </w:tcPr>
          <w:p>
            <w:pPr>
              <w:spacing w:lineRule="exact" w:line="600"/>
              <w:jc w:val="center"/>
            </w:pPr>
            <w:r/>
            <w:r>
              <w:rPr>
                <w:rFonts w:ascii="仿宋_GB2312" w:hAnsi="仿宋_GB2312" w:eastAsia="仿宋_GB2312"/>
                <w:b w:val="0"/>
                <w:color w:val="000000"/>
                <w:sz w:val="32"/>
              </w:rPr>
              <w:t>核准日期</w:t>
            </w:r>
          </w:p>
        </w:tc>
        <w:tc>
          <w:tcPr>
            <w:tcW w:type="dxa" w:w="4422"/>
          </w:tcPr>
          <w:p>
            <w:pPr>
              <w:spacing w:lineRule="exact" w:line="600"/>
              <w:jc w:val="center"/>
            </w:pPr>
            <w:r/>
            <w:r>
              <w:rPr>
                <w:rFonts w:ascii="仿宋_GB2312" w:hAnsi="仿宋_GB2312" w:eastAsia="仿宋_GB2312"/>
                <w:b w:val="0"/>
                <w:color w:val="000000"/>
                <w:sz w:val="32"/>
              </w:rPr>
              <w:t>2022年11月9日</w:t>
            </w:r>
          </w:p>
        </w:tc>
      </w:tr>
      <w:tr>
        <w:tc>
          <w:tcPr>
            <w:tcW w:type="dxa" w:w="4422"/>
          </w:tcPr>
          <w:p>
            <w:pPr>
              <w:spacing w:lineRule="exact" w:line="600"/>
              <w:jc w:val="center"/>
            </w:pPr>
            <w:r/>
            <w:r>
              <w:rPr>
                <w:rFonts w:ascii="仿宋_GB2312" w:hAnsi="仿宋_GB2312" w:eastAsia="仿宋_GB2312"/>
                <w:b w:val="0"/>
                <w:color w:val="000000"/>
                <w:sz w:val="32"/>
              </w:rPr>
              <w:t>登记机关</w:t>
            </w:r>
          </w:p>
        </w:tc>
        <w:tc>
          <w:tcPr>
            <w:tcW w:type="dxa" w:w="4422"/>
          </w:tcPr>
          <w:p>
            <w:pPr>
              <w:spacing w:lineRule="exact" w:line="600"/>
              <w:jc w:val="center"/>
            </w:pPr>
            <w:r/>
            <w:r>
              <w:rPr>
                <w:rFonts w:ascii="仿宋_GB2312" w:hAnsi="仿宋_GB2312" w:eastAsia="仿宋_GB2312"/>
                <w:b w:val="0"/>
                <w:color w:val="000000"/>
                <w:sz w:val="32"/>
              </w:rPr>
              <w:t>滨州市惠民县市场监督管理局</w:t>
            </w:r>
          </w:p>
        </w:tc>
      </w:tr>
      <w:tr>
        <w:tc>
          <w:tcPr>
            <w:tcW w:type="dxa" w:w="4422"/>
          </w:tcPr>
          <w:p>
            <w:pPr>
              <w:spacing w:lineRule="exact" w:line="600"/>
              <w:jc w:val="center"/>
            </w:pPr>
            <w:r/>
            <w:r>
              <w:rPr>
                <w:rFonts w:ascii="仿宋_GB2312" w:hAnsi="仿宋_GB2312" w:eastAsia="仿宋_GB2312"/>
                <w:b w:val="0"/>
                <w:color w:val="000000"/>
                <w:sz w:val="32"/>
              </w:rPr>
              <w:t>注册地址</w:t>
            </w:r>
          </w:p>
        </w:tc>
        <w:tc>
          <w:tcPr>
            <w:tcW w:type="dxa" w:w="4422"/>
          </w:tcPr>
          <w:p>
            <w:pPr>
              <w:spacing w:lineRule="exact" w:line="600"/>
              <w:jc w:val="center"/>
            </w:pPr>
            <w:r/>
            <w:r>
              <w:rPr>
                <w:rFonts w:ascii="仿宋_GB2312" w:hAnsi="仿宋_GB2312" w:eastAsia="仿宋_GB2312"/>
                <w:b w:val="0"/>
                <w:color w:val="000000"/>
                <w:sz w:val="32"/>
              </w:rPr>
              <w:t>山东省滨州市惠民县姜楼镇220国道与中心路交叉口向西200米路北</w:t>
            </w:r>
          </w:p>
        </w:tc>
      </w:tr>
      <w:tr>
        <w:tc>
          <w:tcPr>
            <w:tcW w:type="dxa" w:w="4422"/>
          </w:tcPr>
          <w:p>
            <w:pPr>
              <w:spacing w:lineRule="exact" w:line="600"/>
              <w:jc w:val="center"/>
            </w:pPr>
            <w:r/>
            <w:r>
              <w:rPr>
                <w:rFonts w:ascii="仿宋_GB2312" w:hAnsi="仿宋_GB2312" w:eastAsia="仿宋_GB2312"/>
                <w:b w:val="0"/>
                <w:color w:val="000000"/>
                <w:sz w:val="32"/>
              </w:rPr>
              <w:t>经营场所（官网）</w:t>
            </w:r>
          </w:p>
        </w:tc>
        <w:tc>
          <w:tcPr>
            <w:tcW w:type="dxa" w:w="4422"/>
          </w:tcPr>
          <w:p>
            <w:pPr>
              <w:spacing w:lineRule="exact" w:line="600"/>
              <w:jc w:val="center"/>
            </w:pPr>
            <w:r/>
            <w:r>
              <w:rPr>
                <w:rFonts w:ascii="仿宋_GB2312" w:hAnsi="仿宋_GB2312" w:eastAsia="仿宋_GB2312"/>
                <w:b w:val="0"/>
                <w:color w:val="000000"/>
                <w:sz w:val="32"/>
              </w:rPr>
              <w:t>山东省滨州市惠民县姜楼镇姜中路1号</w:t>
            </w:r>
          </w:p>
        </w:tc>
      </w:tr>
      <w:tr>
        <w:tc>
          <w:tcPr>
            <w:tcW w:type="dxa" w:w="4422"/>
          </w:tcPr>
          <w:p>
            <w:pPr>
              <w:spacing w:lineRule="exact" w:line="600"/>
              <w:jc w:val="center"/>
            </w:pPr>
            <w:r/>
            <w:r>
              <w:rPr>
                <w:rFonts w:ascii="仿宋_GB2312" w:hAnsi="仿宋_GB2312" w:eastAsia="仿宋_GB2312"/>
                <w:b w:val="0"/>
                <w:color w:val="000000"/>
                <w:sz w:val="32"/>
              </w:rPr>
              <w:t>国民经济行业分类</w:t>
            </w:r>
          </w:p>
        </w:tc>
        <w:tc>
          <w:tcPr>
            <w:tcW w:type="dxa" w:w="4422"/>
          </w:tcPr>
          <w:p>
            <w:pPr>
              <w:spacing w:lineRule="exact" w:line="600"/>
              <w:jc w:val="center"/>
            </w:pPr>
            <w:r/>
            <w:r>
              <w:rPr>
                <w:rFonts w:ascii="仿宋_GB2312" w:hAnsi="仿宋_GB2312" w:eastAsia="仿宋_GB2312"/>
                <w:b w:val="0"/>
                <w:color w:val="000000"/>
                <w:sz w:val="32"/>
              </w:rPr>
              <w:t>纺织业＞化纤织造及印染精加工＞化纤织造加工</w:t>
            </w:r>
          </w:p>
        </w:tc>
      </w:tr>
      <w:tr>
        <w:tc>
          <w:tcPr>
            <w:tcW w:type="dxa" w:w="4422"/>
          </w:tcPr>
          <w:p>
            <w:pPr>
              <w:spacing w:lineRule="exact" w:line="600"/>
              <w:jc w:val="center"/>
            </w:pPr>
            <w:r/>
            <w:r>
              <w:rPr>
                <w:rFonts w:ascii="仿宋_GB2312" w:hAnsi="仿宋_GB2312" w:eastAsia="仿宋_GB2312"/>
                <w:b w:val="0"/>
                <w:color w:val="000000"/>
                <w:sz w:val="32"/>
              </w:rPr>
              <w:t>参保人数</w:t>
            </w:r>
          </w:p>
        </w:tc>
        <w:tc>
          <w:tcPr>
            <w:tcW w:type="dxa" w:w="4422"/>
          </w:tcPr>
          <w:p>
            <w:pPr>
              <w:spacing w:lineRule="exact" w:line="600"/>
              <w:jc w:val="center"/>
            </w:pPr>
            <w:r/>
            <w:r>
              <w:rPr>
                <w:rFonts w:ascii="仿宋_GB2312" w:hAnsi="仿宋_GB2312" w:eastAsia="仿宋_GB2312"/>
                <w:b w:val="0"/>
                <w:color w:val="000000"/>
                <w:sz w:val="32"/>
              </w:rPr>
              <w:t>14人（公示口径）</w:t>
            </w:r>
          </w:p>
        </w:tc>
      </w:tr>
      <w:tr>
        <w:tc>
          <w:tcPr>
            <w:tcW w:type="dxa" w:w="4422"/>
          </w:tcPr>
          <w:p>
            <w:pPr>
              <w:spacing w:lineRule="exact" w:line="600"/>
              <w:jc w:val="center"/>
            </w:pPr>
            <w:r/>
            <w:r>
              <w:rPr>
                <w:rFonts w:ascii="仿宋_GB2312" w:hAnsi="仿宋_GB2312" w:eastAsia="仿宋_GB2312"/>
                <w:b w:val="0"/>
                <w:color w:val="000000"/>
                <w:sz w:val="32"/>
              </w:rPr>
              <w:t>企业规模</w:t>
            </w:r>
          </w:p>
        </w:tc>
        <w:tc>
          <w:tcPr>
            <w:tcW w:type="dxa" w:w="4422"/>
          </w:tcPr>
          <w:p>
            <w:pPr>
              <w:spacing w:lineRule="exact" w:line="600"/>
              <w:jc w:val="center"/>
            </w:pPr>
            <w:r/>
            <w:r>
              <w:rPr>
                <w:rFonts w:ascii="仿宋_GB2312" w:hAnsi="仿宋_GB2312" w:eastAsia="仿宋_GB2312"/>
                <w:b w:val="0"/>
                <w:color w:val="000000"/>
                <w:sz w:val="32"/>
              </w:rPr>
              <w:t>小微企业（公示口径）</w:t>
            </w:r>
          </w:p>
        </w:tc>
      </w:tr>
      <w:tr>
        <w:tc>
          <w:tcPr>
            <w:tcW w:type="dxa" w:w="4422"/>
          </w:tcPr>
          <w:p>
            <w:pPr>
              <w:spacing w:lineRule="exact" w:line="600"/>
              <w:jc w:val="center"/>
            </w:pPr>
            <w:r/>
            <w:r>
              <w:rPr>
                <w:rFonts w:ascii="仿宋_GB2312" w:hAnsi="仿宋_GB2312" w:eastAsia="仿宋_GB2312"/>
                <w:b w:val="0"/>
                <w:color w:val="000000"/>
                <w:sz w:val="32"/>
              </w:rPr>
              <w:t>公司网址</w:t>
            </w:r>
          </w:p>
        </w:tc>
        <w:tc>
          <w:tcPr>
            <w:tcW w:type="dxa" w:w="4422"/>
          </w:tcPr>
          <w:p>
            <w:pPr>
              <w:spacing w:lineRule="exact" w:line="600"/>
              <w:jc w:val="center"/>
            </w:pPr>
            <w:r/>
            <w:r>
              <w:rPr>
                <w:rFonts w:ascii="仿宋_GB2312" w:hAnsi="仿宋_GB2312" w:eastAsia="仿宋_GB2312"/>
                <w:b w:val="0"/>
                <w:color w:val="000000"/>
                <w:sz w:val="32"/>
              </w:rPr>
              <w:t>http://www.binzhouanhui.com</w:t>
            </w:r>
          </w:p>
        </w:tc>
      </w:tr>
    </w:tbl>
    <w:p>
      <w:pPr>
        <w:spacing w:lineRule="exact" w:line="600" w:before="0" w:after="0"/>
        <w:ind w:firstLine="420"/>
        <w:jc w:val="both"/>
      </w:pPr>
      <w:r>
        <w:rPr>
          <w:rFonts w:ascii="仿宋_GB2312" w:hAnsi="仿宋_GB2312" w:eastAsia="仿宋_GB2312"/>
          <w:b w:val="0"/>
          <w:color w:val="000000"/>
          <w:sz w:val="32"/>
        </w:rPr>
        <w:t>公司经营范围包括：一般项目为产业用纺织制成品制造与销售、劳动保护用品生产与销售、特种劳动防护用品生产与销售、塑料制品制造与销售、金属结构制造与销售、信息咨询服务、国内货物运输代理、货物进出口、建筑材料销售、涂料销售（不含危险化学品）、染料销售、金属材料销售、五金产品批发与零售、建筑用金属配件销售、金属制品销售、办公用品销售、日用百货销售、家具销售等；许可项目为建设工程施工、第二类增值电信业务。其中"特种劳动防护用品生产""特种劳动防护用品销售"是公司的核心业务资质，"建设工程施工"许可项目的设置，则反映出公司在为建筑施工企业提供产品的同时，具备承接安全防护配套工程的延伸服务能力。</w:t>
      </w:r>
    </w:p>
    <w:p>
      <w:pPr>
        <w:spacing w:lineRule="exact" w:line="600" w:before="120" w:after="120"/>
        <w:ind w:firstLine="420"/>
        <w:jc w:val="left"/>
      </w:pPr>
      <w:r>
        <w:rPr>
          <w:rFonts w:ascii="楷体_GB2312" w:hAnsi="楷体_GB2312" w:eastAsia="楷体_GB2312"/>
          <w:b w:val="0"/>
          <w:color w:val="000000"/>
          <w:sz w:val="32"/>
        </w:rPr>
        <w:t>（三）股权结构与实际控制人</w:t>
      </w:r>
    </w:p>
    <w:p>
      <w:pPr>
        <w:spacing w:lineRule="exact" w:line="600" w:before="0" w:after="0"/>
        <w:ind w:firstLine="420"/>
        <w:jc w:val="both"/>
      </w:pPr>
      <w:r>
        <w:rPr>
          <w:rFonts w:ascii="仿宋_GB2312" w:hAnsi="仿宋_GB2312" w:eastAsia="仿宋_GB2312"/>
          <w:b w:val="0"/>
          <w:color w:val="000000"/>
          <w:sz w:val="32"/>
        </w:rPr>
        <w:t>公司登记类型为"有限责任公司（自然人投资或控股）"，法定代表人为高风花，注册资本2000万元已全额实缴。该实缴规模在山东省同行业中处于前2%的水平，反映股东实际投入较为充分。公司名称中虽含"集团"字样，但据天眼查统计其对外投资企业仅1家，尚未形成多层级、多法人的集团化架构，实质上仍是以单一经营主体为核心的企业组织。</w:t>
      </w:r>
    </w:p>
    <w:p>
      <w:pPr>
        <w:spacing w:lineRule="exact" w:line="600" w:before="0" w:after="0"/>
        <w:ind w:firstLine="420"/>
        <w:jc w:val="both"/>
      </w:pPr>
      <w:r>
        <w:rPr>
          <w:rFonts w:ascii="仿宋_GB2312" w:hAnsi="仿宋_GB2312" w:eastAsia="仿宋_GB2312"/>
          <w:b w:val="0"/>
          <w:color w:val="000000"/>
          <w:sz w:val="32"/>
        </w:rPr>
        <w:t>在授信实务中，对名称含"集团"但实际为单体公司的企业，应避免因名称产生规模误判，需通过股权穿透核查确认是否存在未纳入合并范围的关联企业、共同实际控制人控制的其他经营主体，以及企业之间的资金拆借、互保、共用厂房设备等情形，防止关联风险传导。同时建议要求实际控制人及其配偶提供连带责任保证，强化信用绑定。</w:t>
      </w:r>
    </w:p>
    <w:p>
      <w:pPr>
        <w:spacing w:lineRule="exact" w:line="600" w:before="120" w:after="120"/>
        <w:ind w:firstLine="420"/>
        <w:jc w:val="left"/>
      </w:pPr>
      <w:r>
        <w:rPr>
          <w:rFonts w:ascii="楷体_GB2312" w:hAnsi="楷体_GB2312" w:eastAsia="楷体_GB2312"/>
          <w:b w:val="0"/>
          <w:color w:val="000000"/>
          <w:sz w:val="32"/>
        </w:rPr>
        <w:t>（四）经营场所、产能与设备</w:t>
      </w:r>
    </w:p>
    <w:p>
      <w:pPr>
        <w:spacing w:lineRule="exact" w:line="600" w:before="0" w:after="0"/>
        <w:ind w:firstLine="420"/>
        <w:jc w:val="both"/>
      </w:pPr>
      <w:r>
        <w:rPr>
          <w:rFonts w:ascii="仿宋_GB2312" w:hAnsi="仿宋_GB2312" w:eastAsia="仿宋_GB2312"/>
          <w:b w:val="0"/>
          <w:color w:val="000000"/>
          <w:sz w:val="32"/>
        </w:rPr>
        <w:t>公司位于惠民县姜楼镇，处于全县特种劳动防护用品产业的核心区。据官网披露，生产车间面积16000平方米（官网另一处表述为35000平方米，可能包含后期扩建部分），固定资产6800万元。主要生产设备包括密目织网机78台套、全自动大型织网机10台、捻线机20台、织带机26台套、合绳机36台，并配备较为齐全的检测设备。从设备构成看，公司的产能布局覆盖了从制绳（合绳机）、织带（织带机）、织网（密目织网机、大型织网机）到捻线（捻线机）的完整工艺链条，具备安全网、安全带、安全绳三大类产品的一体化生产能力，这在集群内属于较为完整的配置。</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要素</w:t>
            </w:r>
          </w:p>
        </w:tc>
        <w:tc>
          <w:tcPr>
            <w:tcW w:type="dxa" w:w="2948"/>
          </w:tcPr>
          <w:p>
            <w:pPr>
              <w:spacing w:lineRule="exact" w:line="600"/>
              <w:jc w:val="center"/>
            </w:pPr>
            <w:r/>
            <w:r>
              <w:rPr>
                <w:rFonts w:ascii="黑体" w:hAnsi="黑体" w:eastAsia="黑体"/>
                <w:b/>
                <w:color w:val="000000"/>
                <w:sz w:val="32"/>
              </w:rPr>
              <w:t>披露情况</w:t>
            </w:r>
          </w:p>
        </w:tc>
        <w:tc>
          <w:tcPr>
            <w:tcW w:type="dxa" w:w="2948"/>
          </w:tcPr>
          <w:p>
            <w:pPr>
              <w:spacing w:lineRule="exact" w:line="600"/>
              <w:jc w:val="center"/>
            </w:pPr>
            <w:r/>
            <w:r>
              <w:rPr>
                <w:rFonts w:ascii="黑体" w:hAnsi="黑体" w:eastAsia="黑体"/>
                <w:b/>
                <w:color w:val="000000"/>
                <w:sz w:val="32"/>
              </w:rPr>
              <w:t>来源</w:t>
            </w:r>
          </w:p>
        </w:tc>
      </w:tr>
      <w:tr>
        <w:tc>
          <w:tcPr>
            <w:tcW w:type="dxa" w:w="2948"/>
          </w:tcPr>
          <w:p>
            <w:pPr>
              <w:spacing w:lineRule="exact" w:line="600"/>
              <w:jc w:val="center"/>
            </w:pPr>
            <w:r/>
            <w:r>
              <w:rPr>
                <w:rFonts w:ascii="仿宋_GB2312" w:hAnsi="仿宋_GB2312" w:eastAsia="仿宋_GB2312"/>
                <w:b w:val="0"/>
                <w:color w:val="000000"/>
                <w:sz w:val="32"/>
              </w:rPr>
              <w:t>生产车间</w:t>
            </w:r>
          </w:p>
        </w:tc>
        <w:tc>
          <w:tcPr>
            <w:tcW w:type="dxa" w:w="2948"/>
          </w:tcPr>
          <w:p>
            <w:pPr>
              <w:spacing w:lineRule="exact" w:line="600"/>
              <w:jc w:val="center"/>
            </w:pPr>
            <w:r/>
            <w:r>
              <w:rPr>
                <w:rFonts w:ascii="仿宋_GB2312" w:hAnsi="仿宋_GB2312" w:eastAsia="仿宋_GB2312"/>
                <w:b w:val="0"/>
                <w:color w:val="000000"/>
                <w:sz w:val="32"/>
              </w:rPr>
              <w:t>16000平方米（另有35000平方米表述）</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固定资产</w:t>
            </w:r>
          </w:p>
        </w:tc>
        <w:tc>
          <w:tcPr>
            <w:tcW w:type="dxa" w:w="2948"/>
          </w:tcPr>
          <w:p>
            <w:pPr>
              <w:spacing w:lineRule="exact" w:line="600"/>
              <w:jc w:val="center"/>
            </w:pPr>
            <w:r/>
            <w:r>
              <w:rPr>
                <w:rFonts w:ascii="仿宋_GB2312" w:hAnsi="仿宋_GB2312" w:eastAsia="仿宋_GB2312"/>
                <w:b w:val="0"/>
                <w:color w:val="000000"/>
                <w:sz w:val="32"/>
              </w:rPr>
              <w:t>6800万元（企业自主宣传口径，未经审计）</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职工人数</w:t>
            </w:r>
          </w:p>
        </w:tc>
        <w:tc>
          <w:tcPr>
            <w:tcW w:type="dxa" w:w="2948"/>
          </w:tcPr>
          <w:p>
            <w:pPr>
              <w:spacing w:lineRule="exact" w:line="600"/>
              <w:jc w:val="center"/>
            </w:pPr>
            <w:r/>
            <w:r>
              <w:rPr>
                <w:rFonts w:ascii="仿宋_GB2312" w:hAnsi="仿宋_GB2312" w:eastAsia="仿宋_GB2312"/>
                <w:b w:val="0"/>
                <w:color w:val="000000"/>
                <w:sz w:val="32"/>
              </w:rPr>
              <w:t>1800余人／1876人（企业口径）；参保14人（公示口径）</w:t>
            </w:r>
          </w:p>
        </w:tc>
        <w:tc>
          <w:tcPr>
            <w:tcW w:type="dxa" w:w="2948"/>
          </w:tcPr>
          <w:p>
            <w:pPr>
              <w:spacing w:lineRule="exact" w:line="600"/>
              <w:jc w:val="center"/>
            </w:pPr>
            <w:r/>
            <w:r>
              <w:rPr>
                <w:rFonts w:ascii="仿宋_GB2312" w:hAnsi="仿宋_GB2312" w:eastAsia="仿宋_GB2312"/>
                <w:b w:val="0"/>
                <w:color w:val="000000"/>
                <w:sz w:val="32"/>
              </w:rPr>
              <w:t>公司官网、工商公示</w:t>
            </w:r>
          </w:p>
        </w:tc>
      </w:tr>
      <w:tr>
        <w:tc>
          <w:tcPr>
            <w:tcW w:type="dxa" w:w="2948"/>
          </w:tcPr>
          <w:p>
            <w:pPr>
              <w:spacing w:lineRule="exact" w:line="600"/>
              <w:jc w:val="center"/>
            </w:pPr>
            <w:r/>
            <w:r>
              <w:rPr>
                <w:rFonts w:ascii="仿宋_GB2312" w:hAnsi="仿宋_GB2312" w:eastAsia="仿宋_GB2312"/>
                <w:b w:val="0"/>
                <w:color w:val="000000"/>
                <w:sz w:val="32"/>
              </w:rPr>
              <w:t>密目织网机</w:t>
            </w:r>
          </w:p>
        </w:tc>
        <w:tc>
          <w:tcPr>
            <w:tcW w:type="dxa" w:w="2948"/>
          </w:tcPr>
          <w:p>
            <w:pPr>
              <w:spacing w:lineRule="exact" w:line="600"/>
              <w:jc w:val="center"/>
            </w:pPr>
            <w:r/>
            <w:r>
              <w:rPr>
                <w:rFonts w:ascii="仿宋_GB2312" w:hAnsi="仿宋_GB2312" w:eastAsia="仿宋_GB2312"/>
                <w:b w:val="0"/>
                <w:color w:val="000000"/>
                <w:sz w:val="32"/>
              </w:rPr>
              <w:t>78台套</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全自动大型织网机</w:t>
            </w:r>
          </w:p>
        </w:tc>
        <w:tc>
          <w:tcPr>
            <w:tcW w:type="dxa" w:w="2948"/>
          </w:tcPr>
          <w:p>
            <w:pPr>
              <w:spacing w:lineRule="exact" w:line="600"/>
              <w:jc w:val="center"/>
            </w:pPr>
            <w:r/>
            <w:r>
              <w:rPr>
                <w:rFonts w:ascii="仿宋_GB2312" w:hAnsi="仿宋_GB2312" w:eastAsia="仿宋_GB2312"/>
                <w:b w:val="0"/>
                <w:color w:val="000000"/>
                <w:sz w:val="32"/>
              </w:rPr>
              <w:t>10台</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捻线机</w:t>
            </w:r>
          </w:p>
        </w:tc>
        <w:tc>
          <w:tcPr>
            <w:tcW w:type="dxa" w:w="2948"/>
          </w:tcPr>
          <w:p>
            <w:pPr>
              <w:spacing w:lineRule="exact" w:line="600"/>
              <w:jc w:val="center"/>
            </w:pPr>
            <w:r/>
            <w:r>
              <w:rPr>
                <w:rFonts w:ascii="仿宋_GB2312" w:hAnsi="仿宋_GB2312" w:eastAsia="仿宋_GB2312"/>
                <w:b w:val="0"/>
                <w:color w:val="000000"/>
                <w:sz w:val="32"/>
              </w:rPr>
              <w:t>20台</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织带机</w:t>
            </w:r>
          </w:p>
        </w:tc>
        <w:tc>
          <w:tcPr>
            <w:tcW w:type="dxa" w:w="2948"/>
          </w:tcPr>
          <w:p>
            <w:pPr>
              <w:spacing w:lineRule="exact" w:line="600"/>
              <w:jc w:val="center"/>
            </w:pPr>
            <w:r/>
            <w:r>
              <w:rPr>
                <w:rFonts w:ascii="仿宋_GB2312" w:hAnsi="仿宋_GB2312" w:eastAsia="仿宋_GB2312"/>
                <w:b w:val="0"/>
                <w:color w:val="000000"/>
                <w:sz w:val="32"/>
              </w:rPr>
              <w:t>26台套</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合绳机</w:t>
            </w:r>
          </w:p>
        </w:tc>
        <w:tc>
          <w:tcPr>
            <w:tcW w:type="dxa" w:w="2948"/>
          </w:tcPr>
          <w:p>
            <w:pPr>
              <w:spacing w:lineRule="exact" w:line="600"/>
              <w:jc w:val="center"/>
            </w:pPr>
            <w:r/>
            <w:r>
              <w:rPr>
                <w:rFonts w:ascii="仿宋_GB2312" w:hAnsi="仿宋_GB2312" w:eastAsia="仿宋_GB2312"/>
                <w:b w:val="0"/>
                <w:color w:val="000000"/>
                <w:sz w:val="32"/>
              </w:rPr>
              <w:t>36台</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销售网络</w:t>
            </w:r>
          </w:p>
        </w:tc>
        <w:tc>
          <w:tcPr>
            <w:tcW w:type="dxa" w:w="2948"/>
          </w:tcPr>
          <w:p>
            <w:pPr>
              <w:spacing w:lineRule="exact" w:line="600"/>
              <w:jc w:val="center"/>
            </w:pPr>
            <w:r/>
            <w:r>
              <w:rPr>
                <w:rFonts w:ascii="仿宋_GB2312" w:hAnsi="仿宋_GB2312" w:eastAsia="仿宋_GB2312"/>
                <w:b w:val="0"/>
                <w:color w:val="000000"/>
                <w:sz w:val="32"/>
              </w:rPr>
              <w:t>北京、青岛、德州、西安等18个重点城市直销办事处</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年产值</w:t>
            </w:r>
          </w:p>
        </w:tc>
        <w:tc>
          <w:tcPr>
            <w:tcW w:type="dxa" w:w="2948"/>
          </w:tcPr>
          <w:p>
            <w:pPr>
              <w:spacing w:lineRule="exact" w:line="600"/>
              <w:jc w:val="center"/>
            </w:pPr>
            <w:r/>
            <w:r>
              <w:rPr>
                <w:rFonts w:ascii="仿宋_GB2312" w:hAnsi="仿宋_GB2312" w:eastAsia="仿宋_GB2312"/>
                <w:b w:val="0"/>
                <w:color w:val="000000"/>
                <w:sz w:val="32"/>
              </w:rPr>
              <w:t>2亿元（企业自主宣传口径，未经审计）</w:t>
            </w:r>
          </w:p>
        </w:tc>
        <w:tc>
          <w:tcPr>
            <w:tcW w:type="dxa" w:w="2948"/>
          </w:tcPr>
          <w:p>
            <w:pPr>
              <w:spacing w:lineRule="exact" w:line="600"/>
              <w:jc w:val="center"/>
            </w:pPr>
            <w:r/>
            <w:r>
              <w:rPr>
                <w:rFonts w:ascii="仿宋_GB2312" w:hAnsi="仿宋_GB2312" w:eastAsia="仿宋_GB2312"/>
                <w:b w:val="0"/>
                <w:color w:val="000000"/>
                <w:sz w:val="32"/>
              </w:rPr>
              <w:t>公司官网</w:t>
            </w:r>
          </w:p>
        </w:tc>
      </w:tr>
      <w:tr>
        <w:tc>
          <w:tcPr>
            <w:tcW w:type="dxa" w:w="2948"/>
          </w:tcPr>
          <w:p>
            <w:pPr>
              <w:spacing w:lineRule="exact" w:line="600"/>
              <w:jc w:val="center"/>
            </w:pPr>
            <w:r/>
            <w:r>
              <w:rPr>
                <w:rFonts w:ascii="仿宋_GB2312" w:hAnsi="仿宋_GB2312" w:eastAsia="仿宋_GB2312"/>
                <w:b w:val="0"/>
                <w:color w:val="000000"/>
                <w:sz w:val="32"/>
              </w:rPr>
              <w:t>实现利税</w:t>
            </w:r>
          </w:p>
        </w:tc>
        <w:tc>
          <w:tcPr>
            <w:tcW w:type="dxa" w:w="2948"/>
          </w:tcPr>
          <w:p>
            <w:pPr>
              <w:spacing w:lineRule="exact" w:line="600"/>
              <w:jc w:val="center"/>
            </w:pPr>
            <w:r/>
            <w:r>
              <w:rPr>
                <w:rFonts w:ascii="仿宋_GB2312" w:hAnsi="仿宋_GB2312" w:eastAsia="仿宋_GB2312"/>
                <w:b w:val="0"/>
                <w:color w:val="000000"/>
                <w:sz w:val="32"/>
              </w:rPr>
              <w:t>1800万元（企业自主宣传口径，未经审计）</w:t>
            </w:r>
          </w:p>
        </w:tc>
        <w:tc>
          <w:tcPr>
            <w:tcW w:type="dxa" w:w="2948"/>
          </w:tcPr>
          <w:p>
            <w:pPr>
              <w:spacing w:lineRule="exact" w:line="600"/>
              <w:jc w:val="center"/>
            </w:pPr>
            <w:r/>
            <w:r>
              <w:rPr>
                <w:rFonts w:ascii="仿宋_GB2312" w:hAnsi="仿宋_GB2312" w:eastAsia="仿宋_GB2312"/>
                <w:b w:val="0"/>
                <w:color w:val="000000"/>
                <w:sz w:val="32"/>
              </w:rPr>
              <w:t>公司官网</w:t>
            </w:r>
          </w:p>
        </w:tc>
      </w:tr>
    </w:tbl>
    <w:p>
      <w:pPr>
        <w:spacing w:lineRule="exact" w:line="600" w:before="0" w:after="0"/>
        <w:ind w:firstLine="420"/>
        <w:jc w:val="both"/>
      </w:pPr>
      <w:r>
        <w:rPr>
          <w:rFonts w:ascii="仿宋_GB2312" w:hAnsi="仿宋_GB2312" w:eastAsia="仿宋_GB2312"/>
          <w:b w:val="0"/>
          <w:color w:val="000000"/>
          <w:sz w:val="32"/>
        </w:rPr>
        <w:t>需重点说明的是，企业自述职工1800余人，而工商公示参保人数仅14人，两者相差悬殊。这一差异的主要成因与集群内普遍情况一致：大量缝制、穿绳、包装等劳动密集型工序以计件外协、家庭工坊、"红网工坊"等灵活方式完成，相关人员未与企业建立标准劳动关系、未纳入社保参保统计。惠民县通过"企业+合作社+农户"模式扶持了500余个家庭工坊，李庄镇仅"红网工坊"就有56个。这种柔性用工体系是当地产业的组织特色，但也意味着企业实际用工的合规成本、质量一致性管理与安全生产责任边界需要在尽职调查中重点核实。同时提示：1800余人的表述发布时间较早，与当期实际用工规模可能存在较大出入。</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（一）主营业务与产品结构</w:t>
      </w:r>
    </w:p>
    <w:p>
      <w:pPr>
        <w:spacing w:lineRule="exact" w:line="600" w:before="0" w:after="0"/>
        <w:ind w:firstLine="420"/>
        <w:jc w:val="both"/>
      </w:pPr>
      <w:r>
        <w:rPr>
          <w:rFonts w:ascii="仿宋_GB2312" w:hAnsi="仿宋_GB2312" w:eastAsia="仿宋_GB2312"/>
          <w:b w:val="0"/>
          <w:color w:val="000000"/>
          <w:sz w:val="32"/>
        </w:rPr>
        <w:t>公司是一家专业致力于研发生产高性能安全绳网的高新技术企业，主要产品包括安全带、安全网、密目式安全立网、防尘网、遮阳网、安全绳、救生软梯、吊装带、吊装网、运输网、养殖网、封垛网、高空软梯、坐板、各类绳索、安全帽、反光衣，以及阻燃剂、色母料、高强丝、中强丝、土工布、土工格栅等配套材料与延伸产品。</w:t>
      </w:r>
    </w:p>
    <w:p>
      <w:pPr>
        <w:spacing w:lineRule="exact" w:line="600" w:before="0" w:after="0"/>
        <w:ind w:firstLine="420"/>
        <w:jc w:val="both"/>
      </w:pPr>
      <w:r>
        <w:rPr>
          <w:rFonts w:ascii="仿宋_GB2312" w:hAnsi="仿宋_GB2312" w:eastAsia="仿宋_GB2312"/>
          <w:b w:val="0"/>
          <w:color w:val="000000"/>
          <w:sz w:val="32"/>
        </w:rPr>
        <w:t>产品结构呈现三个层次：第一层次是核心主业——安全网、密目式安全立网、安全带、安全绳等特种劳动防护用品，属于强制性认证与生产许可管理产品，技术门槛与准入壁垒最高，也是公司品牌与渠道价值的载体；第二层次是关联防护品——安全帽、反光衣、绳梯、坐板、吊装带等，与核心主业共享客户与渠道，起到丰富产品线、提升单客户价值的作用；第三层次是上游材料与土工材料——阻燃剂、色母料、高强丝、中强丝、土工布、土工格栅，既可自用降低成本，也可对外销售，体现了公司向产业链上游的纵向延伸。</w:t>
      </w:r>
    </w:p>
    <w:p>
      <w:pPr>
        <w:spacing w:lineRule="exact" w:line="600" w:before="0" w:after="0"/>
        <w:ind w:firstLine="420"/>
        <w:jc w:val="both"/>
      </w:pPr>
      <w:r>
        <w:rPr>
          <w:rFonts w:ascii="仿宋_GB2312" w:hAnsi="仿宋_GB2312" w:eastAsia="仿宋_GB2312"/>
          <w:b w:val="0"/>
          <w:color w:val="000000"/>
          <w:sz w:val="32"/>
        </w:rPr>
        <w:t>这一"核心+关联+上游"的结构，使公司在建筑施工安全防护领域具备"一站式供货"能力，相比只做单一品类的中小企业，在大型客户集中采购中更具竞争优势。</w:t>
      </w:r>
    </w:p>
    <w:p>
      <w:pPr>
        <w:spacing w:lineRule="exact" w:line="600" w:before="120" w:after="120"/>
        <w:ind w:firstLine="420"/>
        <w:jc w:val="left"/>
      </w:pPr>
      <w:r>
        <w:rPr>
          <w:rFonts w:ascii="楷体_GB2312" w:hAnsi="楷体_GB2312" w:eastAsia="楷体_GB2312"/>
          <w:b w:val="0"/>
          <w:color w:val="000000"/>
          <w:sz w:val="32"/>
        </w:rPr>
        <w:t>（二）客户结构与市场地位</w:t>
      </w:r>
    </w:p>
    <w:p>
      <w:pPr>
        <w:spacing w:lineRule="exact" w:line="600" w:before="0" w:after="0"/>
        <w:ind w:firstLine="420"/>
        <w:jc w:val="both"/>
      </w:pPr>
      <w:r>
        <w:rPr>
          <w:rFonts w:ascii="仿宋_GB2312" w:hAnsi="仿宋_GB2312" w:eastAsia="仿宋_GB2312"/>
          <w:b w:val="0"/>
          <w:color w:val="000000"/>
          <w:sz w:val="32"/>
        </w:rPr>
        <w:t>公司的客户结构是其最为突出的经营特征。据官网披露，公司已成为中国建筑集团有限公司、中铁建设集团有限公司、山东高速等国家重点企业的指定供应商，并先后荣获中国建筑"优秀供应商"、中铁"年度百强供应商"等称号。进入央企与省属国企的合格供应商名录，意味着公司已通过对方在资质、产能、质量体系、履约能力、财务状况等方面的全面审核，这在信用评价上具有很强的背书价值。</w:t>
      </w:r>
    </w:p>
    <w:p>
      <w:pPr>
        <w:spacing w:lineRule="exact" w:line="600" w:before="0" w:after="0"/>
        <w:ind w:firstLine="420"/>
        <w:jc w:val="both"/>
      </w:pPr>
      <w:r>
        <w:rPr>
          <w:rFonts w:ascii="仿宋_GB2312" w:hAnsi="仿宋_GB2312" w:eastAsia="仿宋_GB2312"/>
          <w:b w:val="0"/>
          <w:color w:val="000000"/>
          <w:sz w:val="32"/>
        </w:rPr>
        <w:t>天眼查数据显示，公司参与招投标项目达133次，在集群内属于招投标参与度最高的企业之一，印证了其以工程集中采购渠道为主的销售模式。相比之下，同集群的金冠网具招投标次数为23次，腾龙化纤为15次，差距反映出两类企业截然不同的市场路径：安惠绳网走的是"央企国企集中采购+国内直销网络"路线，而部分同行走的是"外贸出口+电商零售"路线。</w:t>
      </w:r>
    </w:p>
    <w:p>
      <w:pPr>
        <w:spacing w:lineRule="exact" w:line="600" w:before="0" w:after="0"/>
        <w:ind w:firstLine="420"/>
        <w:jc w:val="both"/>
      </w:pPr>
      <w:r>
        <w:rPr>
          <w:rFonts w:ascii="仿宋_GB2312" w:hAnsi="仿宋_GB2312" w:eastAsia="仿宋_GB2312"/>
          <w:b w:val="0"/>
          <w:color w:val="000000"/>
          <w:sz w:val="32"/>
        </w:rPr>
        <w:t>销售网络方面，公司推行定区域直销机制，在北京、青岛、德州、西安等18个重点城市设立直销办事处，官网称其产品"除台湾和西藏之外无处不在"，在国内市场享有较高声誉。自建直销网络虽然固定成本较高，但可直接触达工程项目部、快速响应现场需求、获取一手市场信息，是维系大客户关系的重要基础设施。</w:t>
      </w:r>
    </w:p>
    <w:p>
      <w:pPr>
        <w:spacing w:lineRule="exact" w:line="600" w:before="0" w:after="0"/>
        <w:ind w:firstLine="420"/>
        <w:jc w:val="both"/>
      </w:pPr>
      <w:r>
        <w:rPr>
          <w:rFonts w:ascii="仿宋_GB2312" w:hAnsi="仿宋_GB2312" w:eastAsia="仿宋_GB2312"/>
          <w:b w:val="0"/>
          <w:color w:val="000000"/>
          <w:sz w:val="32"/>
        </w:rPr>
        <w:t>出口业务方面，公司具有进出口经营权，但公开信息中未见对出口国别、出口占比的具体披露，结合其以国内工程渠道为主的定位判断，出口业务规模应相对有限。</w:t>
      </w:r>
    </w:p>
    <w:p>
      <w:pPr>
        <w:spacing w:lineRule="exact" w:line="600" w:before="120" w:after="120"/>
        <w:ind w:firstLine="420"/>
        <w:jc w:val="left"/>
      </w:pPr>
      <w:r>
        <w:rPr>
          <w:rFonts w:ascii="楷体_GB2312" w:hAnsi="楷体_GB2312" w:eastAsia="楷体_GB2312"/>
          <w:b w:val="0"/>
          <w:color w:val="000000"/>
          <w:sz w:val="32"/>
        </w:rPr>
        <w:t>（三）研发能力与技术积累</w:t>
      </w:r>
    </w:p>
    <w:p>
      <w:pPr>
        <w:spacing w:lineRule="exact" w:line="600" w:before="0" w:after="0"/>
        <w:ind w:firstLine="420"/>
        <w:jc w:val="both"/>
      </w:pPr>
      <w:r>
        <w:rPr>
          <w:rFonts w:ascii="仿宋_GB2312" w:hAnsi="仿宋_GB2312" w:eastAsia="仿宋_GB2312"/>
          <w:b w:val="0"/>
          <w:color w:val="000000"/>
          <w:sz w:val="32"/>
        </w:rPr>
        <w:t>公司定位为高新技术企业，据官网披露拥有实用新型专利28项、发明专利8项，合计36项；天眼查统计的专利信息为44条，商标信息10条，著作权信息1条，行政许可5个。发明专利占比达到两成以上，在以实用新型为主的绳网行业中属于较高水平，反映出公司在材料配方、结构设计等需要实质性创新的方向上确有投入。</w:t>
      </w:r>
    </w:p>
    <w:p>
      <w:pPr>
        <w:spacing w:lineRule="exact" w:line="600" w:before="0" w:after="0"/>
        <w:ind w:firstLine="420"/>
        <w:jc w:val="both"/>
      </w:pPr>
      <w:r>
        <w:rPr>
          <w:rFonts w:ascii="仿宋_GB2312" w:hAnsi="仿宋_GB2312" w:eastAsia="仿宋_GB2312"/>
          <w:b w:val="0"/>
          <w:color w:val="000000"/>
          <w:sz w:val="32"/>
        </w:rPr>
        <w:t>2025年2月28日，公司被山东省人力资源和社会保障厅认定为"山东省博士后创新实践基地"，是惠民县新增的省级博士后平台。博士后创新实践基地的设立，标志着公司具备承接高层次人才科研项目的条件，对于突破高性能纤维应用、新型防护结构设计等技术瓶颈具有实质意义，同时也是县域民营企业中较为稀缺的人才与创新平台资源。</w:t>
      </w:r>
    </w:p>
    <w:p>
      <w:pPr>
        <w:spacing w:lineRule="exact" w:line="600" w:before="0" w:after="0"/>
        <w:ind w:firstLine="420"/>
        <w:jc w:val="both"/>
      </w:pPr>
      <w:r>
        <w:rPr>
          <w:rFonts w:ascii="仿宋_GB2312" w:hAnsi="仿宋_GB2312" w:eastAsia="仿宋_GB2312"/>
          <w:b w:val="0"/>
          <w:color w:val="000000"/>
          <w:sz w:val="32"/>
        </w:rPr>
        <w:t>此外，公司入选山东省第八批省级工业设计中心（该批次滨州市共13家企业入选，惠民县有国创精密、安惠绳网等4家企业获批），表明其在产品外观、人机工程、使用体验等设计维度亦有系统性投入，这对于安全带、坐板、软梯等需要贴合人体使用的产品尤为重要。</w:t>
      </w:r>
    </w:p>
    <w:p>
      <w:pPr>
        <w:spacing w:lineRule="exact" w:line="600" w:before="0" w:after="0"/>
        <w:ind w:firstLine="420"/>
        <w:jc w:val="both"/>
      </w:pPr>
      <w:r>
        <w:rPr>
          <w:rFonts w:ascii="仿宋_GB2312" w:hAnsi="仿宋_GB2312" w:eastAsia="仿宋_GB2312"/>
          <w:b w:val="0"/>
          <w:color w:val="000000"/>
          <w:sz w:val="32"/>
        </w:rPr>
        <w:t>2025年，公司成功取得全省首张逃生绳相关认证证书，成为山东省首家获此认证的企业。逃生绳属于消防应急领域产品，认证要求严苛，首张认证的获得意味着公司在消防应急救援这一新兴细分市场取得了先发的资质优势，为业务边界拓展打开了新空间。</w:t>
      </w:r>
    </w:p>
    <w:p>
      <w:pPr>
        <w:spacing w:lineRule="exact" w:line="600" w:before="120" w:after="120"/>
        <w:ind w:firstLine="420"/>
        <w:jc w:val="left"/>
      </w:pPr>
      <w:r>
        <w:rPr>
          <w:rFonts w:ascii="楷体_GB2312" w:hAnsi="楷体_GB2312" w:eastAsia="楷体_GB2312"/>
          <w:b w:val="0"/>
          <w:color w:val="000000"/>
          <w:sz w:val="32"/>
        </w:rPr>
        <w:t>（四）资质认证与品牌荣誉</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年份</w:t>
            </w:r>
          </w:p>
        </w:tc>
        <w:tc>
          <w:tcPr>
            <w:tcW w:type="dxa" w:w="2948"/>
          </w:tcPr>
          <w:p>
            <w:pPr>
              <w:spacing w:lineRule="exact" w:line="600"/>
              <w:jc w:val="center"/>
            </w:pPr>
            <w:r/>
            <w:r>
              <w:rPr>
                <w:rFonts w:ascii="黑体" w:hAnsi="黑体" w:eastAsia="黑体"/>
                <w:b/>
                <w:color w:val="000000"/>
                <w:sz w:val="32"/>
              </w:rPr>
              <w:t>资质或荣誉</w:t>
            </w:r>
          </w:p>
        </w:tc>
        <w:tc>
          <w:tcPr>
            <w:tcW w:type="dxa" w:w="2948"/>
          </w:tcPr>
          <w:p>
            <w:pPr>
              <w:spacing w:lineRule="exact" w:line="600"/>
              <w:jc w:val="center"/>
            </w:pPr>
            <w:r/>
            <w:r>
              <w:rPr>
                <w:rFonts w:ascii="黑体" w:hAnsi="黑体" w:eastAsia="黑体"/>
                <w:b/>
                <w:color w:val="000000"/>
                <w:sz w:val="32"/>
              </w:rPr>
              <w:t>授予/认证主体</w:t>
            </w:r>
          </w:p>
        </w:tc>
      </w:tr>
      <w:tr>
        <w:tc>
          <w:tcPr>
            <w:tcW w:type="dxa" w:w="2948"/>
          </w:tcPr>
          <w:p>
            <w:pPr>
              <w:spacing w:lineRule="exact" w:line="600"/>
              <w:jc w:val="center"/>
            </w:pPr>
            <w:r/>
            <w:r>
              <w:rPr>
                <w:rFonts w:ascii="仿宋_GB2312" w:hAnsi="仿宋_GB2312" w:eastAsia="仿宋_GB2312"/>
                <w:b w:val="0"/>
                <w:color w:val="000000"/>
                <w:sz w:val="32"/>
              </w:rPr>
              <w:t>2003年12月</w:t>
            </w:r>
          </w:p>
        </w:tc>
        <w:tc>
          <w:tcPr>
            <w:tcW w:type="dxa" w:w="2948"/>
          </w:tcPr>
          <w:p>
            <w:pPr>
              <w:spacing w:lineRule="exact" w:line="600"/>
              <w:jc w:val="center"/>
            </w:pPr>
            <w:r/>
            <w:r>
              <w:rPr>
                <w:rFonts w:ascii="仿宋_GB2312" w:hAnsi="仿宋_GB2312" w:eastAsia="仿宋_GB2312"/>
                <w:b w:val="0"/>
                <w:color w:val="000000"/>
                <w:sz w:val="32"/>
              </w:rPr>
              <w:t>被授予中型企业</w:t>
            </w:r>
          </w:p>
        </w:tc>
        <w:tc>
          <w:tcPr>
            <w:tcW w:type="dxa" w:w="2948"/>
          </w:tcPr>
          <w:p>
            <w:pPr>
              <w:spacing w:lineRule="exact" w:line="600"/>
              <w:jc w:val="center"/>
            </w:pPr>
            <w:r/>
            <w:r>
              <w:rPr>
                <w:rFonts w:ascii="仿宋_GB2312" w:hAnsi="仿宋_GB2312" w:eastAsia="仿宋_GB2312"/>
                <w:b w:val="0"/>
                <w:color w:val="000000"/>
                <w:sz w:val="32"/>
              </w:rPr>
              <w:t>农业部</w:t>
            </w:r>
          </w:p>
        </w:tc>
      </w:tr>
      <w:tr>
        <w:tc>
          <w:tcPr>
            <w:tcW w:type="dxa" w:w="2948"/>
          </w:tcPr>
          <w:p>
            <w:pPr>
              <w:spacing w:lineRule="exact" w:line="600"/>
              <w:jc w:val="center"/>
            </w:pPr>
            <w:r/>
            <w:r>
              <w:rPr>
                <w:rFonts w:ascii="仿宋_GB2312" w:hAnsi="仿宋_GB2312" w:eastAsia="仿宋_GB2312"/>
                <w:b w:val="0"/>
                <w:color w:val="000000"/>
                <w:sz w:val="32"/>
              </w:rPr>
              <w:t>2008年9月</w:t>
            </w:r>
          </w:p>
        </w:tc>
        <w:tc>
          <w:tcPr>
            <w:tcW w:type="dxa" w:w="2948"/>
          </w:tcPr>
          <w:p>
            <w:pPr>
              <w:spacing w:lineRule="exact" w:line="600"/>
              <w:jc w:val="center"/>
            </w:pPr>
            <w:r/>
            <w:r>
              <w:rPr>
                <w:rFonts w:ascii="仿宋_GB2312" w:hAnsi="仿宋_GB2312" w:eastAsia="仿宋_GB2312"/>
                <w:b w:val="0"/>
                <w:color w:val="000000"/>
                <w:sz w:val="32"/>
              </w:rPr>
              <w:t>"安惠及图"商标获山东省著名商标</w:t>
            </w:r>
          </w:p>
        </w:tc>
        <w:tc>
          <w:tcPr>
            <w:tcW w:type="dxa" w:w="2948"/>
          </w:tcPr>
          <w:p>
            <w:pPr>
              <w:spacing w:lineRule="exact" w:line="600"/>
              <w:jc w:val="center"/>
            </w:pPr>
            <w:r/>
            <w:r>
              <w:rPr>
                <w:rFonts w:ascii="仿宋_GB2312" w:hAnsi="仿宋_GB2312" w:eastAsia="仿宋_GB2312"/>
                <w:b w:val="0"/>
                <w:color w:val="000000"/>
                <w:sz w:val="32"/>
              </w:rPr>
              <w:t>山东省工商行政管理局</w:t>
            </w:r>
          </w:p>
        </w:tc>
      </w:tr>
      <w:tr>
        <w:tc>
          <w:tcPr>
            <w:tcW w:type="dxa" w:w="2948"/>
          </w:tcPr>
          <w:p>
            <w:pPr>
              <w:spacing w:lineRule="exact" w:line="600"/>
              <w:jc w:val="center"/>
            </w:pPr>
            <w:r/>
            <w:r>
              <w:rPr>
                <w:rFonts w:ascii="仿宋_GB2312" w:hAnsi="仿宋_GB2312" w:eastAsia="仿宋_GB2312"/>
                <w:b w:val="0"/>
                <w:color w:val="000000"/>
                <w:sz w:val="32"/>
              </w:rPr>
              <w:t>2008年11月</w:t>
            </w:r>
          </w:p>
        </w:tc>
        <w:tc>
          <w:tcPr>
            <w:tcW w:type="dxa" w:w="2948"/>
          </w:tcPr>
          <w:p>
            <w:pPr>
              <w:spacing w:lineRule="exact" w:line="600"/>
              <w:jc w:val="center"/>
            </w:pPr>
            <w:r/>
            <w:r>
              <w:rPr>
                <w:rFonts w:ascii="仿宋_GB2312" w:hAnsi="仿宋_GB2312" w:eastAsia="仿宋_GB2312"/>
                <w:b w:val="0"/>
                <w:color w:val="000000"/>
                <w:sz w:val="32"/>
              </w:rPr>
              <w:t>绳、网、索缆制造行业排头兵企业</w:t>
            </w:r>
          </w:p>
        </w:tc>
        <w:tc>
          <w:tcPr>
            <w:tcW w:type="dxa" w:w="2948"/>
          </w:tcPr>
          <w:p>
            <w:pPr>
              <w:spacing w:lineRule="exact" w:line="600"/>
              <w:jc w:val="center"/>
            </w:pPr>
            <w:r/>
            <w:r>
              <w:rPr>
                <w:rFonts w:ascii="仿宋_GB2312" w:hAnsi="仿宋_GB2312" w:eastAsia="仿宋_GB2312"/>
                <w:b w:val="0"/>
                <w:color w:val="000000"/>
                <w:sz w:val="32"/>
              </w:rPr>
              <w:t>国家有关行业评定</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国家特种劳动防护产品定点大型生产企业之一</w:t>
            </w:r>
          </w:p>
        </w:tc>
        <w:tc>
          <w:tcPr>
            <w:tcW w:type="dxa" w:w="2948"/>
          </w:tcPr>
          <w:p>
            <w:pPr>
              <w:spacing w:lineRule="exact" w:line="600"/>
              <w:jc w:val="center"/>
            </w:pPr>
            <w:r/>
            <w:r>
              <w:rPr>
                <w:rFonts w:ascii="仿宋_GB2312" w:hAnsi="仿宋_GB2312" w:eastAsia="仿宋_GB2312"/>
                <w:b w:val="0"/>
                <w:color w:val="000000"/>
                <w:sz w:val="32"/>
              </w:rPr>
              <w:t>国家有关主管部门</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ISO9001质量管理体系认证</w:t>
            </w:r>
          </w:p>
        </w:tc>
        <w:tc>
          <w:tcPr>
            <w:tcW w:type="dxa" w:w="2948"/>
          </w:tcPr>
          <w:p>
            <w:pPr>
              <w:spacing w:lineRule="exact" w:line="600"/>
              <w:jc w:val="center"/>
            </w:pPr>
            <w:r/>
            <w:r>
              <w:rPr>
                <w:rFonts w:ascii="仿宋_GB2312" w:hAnsi="仿宋_GB2312" w:eastAsia="仿宋_GB2312"/>
                <w:b w:val="0"/>
                <w:color w:val="000000"/>
                <w:sz w:val="32"/>
              </w:rPr>
              <w:t>第三方认证机构</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环境管理体系、职业健康安全管理体系认证</w:t>
            </w:r>
          </w:p>
        </w:tc>
        <w:tc>
          <w:tcPr>
            <w:tcW w:type="dxa" w:w="2948"/>
          </w:tcPr>
          <w:p>
            <w:pPr>
              <w:spacing w:lineRule="exact" w:line="600"/>
              <w:jc w:val="center"/>
            </w:pPr>
            <w:r/>
            <w:r>
              <w:rPr>
                <w:rFonts w:ascii="仿宋_GB2312" w:hAnsi="仿宋_GB2312" w:eastAsia="仿宋_GB2312"/>
                <w:b w:val="0"/>
                <w:color w:val="000000"/>
                <w:sz w:val="32"/>
              </w:rPr>
              <w:t>第三方认证机构</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产品CCC认证、消防认证证书</w:t>
            </w:r>
          </w:p>
        </w:tc>
        <w:tc>
          <w:tcPr>
            <w:tcW w:type="dxa" w:w="2948"/>
          </w:tcPr>
          <w:p>
            <w:pPr>
              <w:spacing w:lineRule="exact" w:line="600"/>
              <w:jc w:val="center"/>
            </w:pPr>
            <w:r/>
            <w:r>
              <w:rPr>
                <w:rFonts w:ascii="仿宋_GB2312" w:hAnsi="仿宋_GB2312" w:eastAsia="仿宋_GB2312"/>
                <w:b w:val="0"/>
                <w:color w:val="000000"/>
                <w:sz w:val="32"/>
              </w:rPr>
              <w:t>国家强制性认证</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山东省劳动防护用品行业推荐品牌</w:t>
            </w:r>
          </w:p>
        </w:tc>
        <w:tc>
          <w:tcPr>
            <w:tcW w:type="dxa" w:w="2948"/>
          </w:tcPr>
          <w:p>
            <w:pPr>
              <w:spacing w:lineRule="exact" w:line="600"/>
              <w:jc w:val="center"/>
            </w:pPr>
            <w:r/>
            <w:r>
              <w:rPr>
                <w:rFonts w:ascii="仿宋_GB2312" w:hAnsi="仿宋_GB2312" w:eastAsia="仿宋_GB2312"/>
                <w:b w:val="0"/>
                <w:color w:val="000000"/>
                <w:sz w:val="32"/>
              </w:rPr>
              <w:t>省行业协会</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"劳保防护安全绳、带"山东省知名品牌</w:t>
            </w:r>
          </w:p>
        </w:tc>
        <w:tc>
          <w:tcPr>
            <w:tcW w:type="dxa" w:w="2948"/>
          </w:tcPr>
          <w:p>
            <w:pPr>
              <w:spacing w:lineRule="exact" w:line="600"/>
              <w:jc w:val="center"/>
            </w:pPr>
            <w:r/>
            <w:r>
              <w:rPr>
                <w:rFonts w:ascii="仿宋_GB2312" w:hAnsi="仿宋_GB2312" w:eastAsia="仿宋_GB2312"/>
                <w:b w:val="0"/>
                <w:color w:val="000000"/>
                <w:sz w:val="32"/>
              </w:rPr>
              <w:t>省有关部门</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中国塑料绳网之都龙头企业</w:t>
            </w:r>
          </w:p>
        </w:tc>
        <w:tc>
          <w:tcPr>
            <w:tcW w:type="dxa" w:w="2948"/>
          </w:tcPr>
          <w:p>
            <w:pPr>
              <w:spacing w:lineRule="exact" w:line="600"/>
              <w:jc w:val="center"/>
            </w:pPr>
            <w:r/>
            <w:r>
              <w:rPr>
                <w:rFonts w:ascii="仿宋_GB2312" w:hAnsi="仿宋_GB2312" w:eastAsia="仿宋_GB2312"/>
                <w:b w:val="0"/>
                <w:color w:val="000000"/>
                <w:sz w:val="32"/>
              </w:rPr>
              <w:t>行业组织</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中国建筑"优秀供应商"、中铁"年度百强供应商"</w:t>
            </w:r>
          </w:p>
        </w:tc>
        <w:tc>
          <w:tcPr>
            <w:tcW w:type="dxa" w:w="2948"/>
          </w:tcPr>
          <w:p>
            <w:pPr>
              <w:spacing w:lineRule="exact" w:line="600"/>
              <w:jc w:val="center"/>
            </w:pPr>
            <w:r/>
            <w:r>
              <w:rPr>
                <w:rFonts w:ascii="仿宋_GB2312" w:hAnsi="仿宋_GB2312" w:eastAsia="仿宋_GB2312"/>
                <w:b w:val="0"/>
                <w:color w:val="000000"/>
                <w:sz w:val="32"/>
              </w:rPr>
              <w:t>中国建筑、中铁</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商标注册证2个、3个国家马德里商标注册证书</w:t>
            </w:r>
          </w:p>
        </w:tc>
        <w:tc>
          <w:tcPr>
            <w:tcW w:type="dxa" w:w="2948"/>
          </w:tcPr>
          <w:p>
            <w:pPr>
              <w:spacing w:lineRule="exact" w:line="600"/>
              <w:jc w:val="center"/>
            </w:pPr>
            <w:r/>
            <w:r>
              <w:rPr>
                <w:rFonts w:ascii="仿宋_GB2312" w:hAnsi="仿宋_GB2312" w:eastAsia="仿宋_GB2312"/>
                <w:b w:val="0"/>
                <w:color w:val="000000"/>
                <w:sz w:val="32"/>
              </w:rPr>
              <w:t>国际商标注册体系</w:t>
            </w:r>
          </w:p>
        </w:tc>
      </w:tr>
      <w:tr>
        <w:tc>
          <w:tcPr>
            <w:tcW w:type="dxa" w:w="2948"/>
          </w:tcPr>
          <w:p>
            <w:pPr>
              <w:spacing w:lineRule="exact" w:line="600"/>
              <w:jc w:val="center"/>
            </w:pPr>
            <w:r/>
            <w:r>
              <w:rPr>
                <w:rFonts w:ascii="仿宋_GB2312" w:hAnsi="仿宋_GB2312" w:eastAsia="仿宋_GB2312"/>
                <w:b w:val="0"/>
                <w:color w:val="000000"/>
                <w:sz w:val="32"/>
              </w:rPr>
              <w:t>2025年2月</w:t>
            </w:r>
          </w:p>
        </w:tc>
        <w:tc>
          <w:tcPr>
            <w:tcW w:type="dxa" w:w="2948"/>
          </w:tcPr>
          <w:p>
            <w:pPr>
              <w:spacing w:lineRule="exact" w:line="600"/>
              <w:jc w:val="center"/>
            </w:pPr>
            <w:r/>
            <w:r>
              <w:rPr>
                <w:rFonts w:ascii="仿宋_GB2312" w:hAnsi="仿宋_GB2312" w:eastAsia="仿宋_GB2312"/>
                <w:b w:val="0"/>
                <w:color w:val="000000"/>
                <w:sz w:val="32"/>
              </w:rPr>
              <w:t>山东省博士后创新实践基地</w:t>
            </w:r>
          </w:p>
        </w:tc>
        <w:tc>
          <w:tcPr>
            <w:tcW w:type="dxa" w:w="2948"/>
          </w:tcPr>
          <w:p>
            <w:pPr>
              <w:spacing w:lineRule="exact" w:line="600"/>
              <w:jc w:val="center"/>
            </w:pPr>
            <w:r/>
            <w:r>
              <w:rPr>
                <w:rFonts w:ascii="仿宋_GB2312" w:hAnsi="仿宋_GB2312" w:eastAsia="仿宋_GB2312"/>
                <w:b w:val="0"/>
                <w:color w:val="000000"/>
                <w:sz w:val="32"/>
              </w:rPr>
              <w:t>山东省人力资源和社会保障厅</w:t>
            </w:r>
          </w:p>
        </w:tc>
      </w:tr>
      <w:tr>
        <w:tc>
          <w:tcPr>
            <w:tcW w:type="dxa" w:w="2948"/>
          </w:tcPr>
          <w:p>
            <w:pPr>
              <w:spacing w:lineRule="exact" w:line="600"/>
              <w:jc w:val="center"/>
            </w:pPr>
            <w:r/>
            <w:r>
              <w:rPr>
                <w:rFonts w:ascii="仿宋_GB2312" w:hAnsi="仿宋_GB2312" w:eastAsia="仿宋_GB2312"/>
                <w:b w:val="0"/>
                <w:color w:val="000000"/>
                <w:sz w:val="32"/>
              </w:rPr>
              <w:t>2025年</w:t>
            </w:r>
          </w:p>
        </w:tc>
        <w:tc>
          <w:tcPr>
            <w:tcW w:type="dxa" w:w="2948"/>
          </w:tcPr>
          <w:p>
            <w:pPr>
              <w:spacing w:lineRule="exact" w:line="600"/>
              <w:jc w:val="center"/>
            </w:pPr>
            <w:r/>
            <w:r>
              <w:rPr>
                <w:rFonts w:ascii="仿宋_GB2312" w:hAnsi="仿宋_GB2312" w:eastAsia="仿宋_GB2312"/>
                <w:b w:val="0"/>
                <w:color w:val="000000"/>
                <w:sz w:val="32"/>
              </w:rPr>
              <w:t>全省首张逃生绳相关认证</w:t>
            </w:r>
          </w:p>
        </w:tc>
        <w:tc>
          <w:tcPr>
            <w:tcW w:type="dxa" w:w="2948"/>
          </w:tcPr>
          <w:p>
            <w:pPr>
              <w:spacing w:lineRule="exact" w:line="600"/>
              <w:jc w:val="center"/>
            </w:pPr>
            <w:r/>
            <w:r>
              <w:rPr>
                <w:rFonts w:ascii="仿宋_GB2312" w:hAnsi="仿宋_GB2312" w:eastAsia="仿宋_GB2312"/>
                <w:b w:val="0"/>
                <w:color w:val="000000"/>
                <w:sz w:val="32"/>
              </w:rPr>
              <w:t>认证机构</w:t>
            </w:r>
          </w:p>
        </w:tc>
      </w:tr>
      <w:tr>
        <w:tc>
          <w:tcPr>
            <w:tcW w:type="dxa" w:w="2948"/>
          </w:tcPr>
          <w:p>
            <w:pPr>
              <w:spacing w:lineRule="exact" w:line="600"/>
              <w:jc w:val="center"/>
            </w:pPr>
            <w:r/>
            <w:r>
              <w:rPr>
                <w:rFonts w:ascii="仿宋_GB2312" w:hAnsi="仿宋_GB2312" w:eastAsia="仿宋_GB2312"/>
                <w:b w:val="0"/>
                <w:color w:val="000000"/>
                <w:sz w:val="32"/>
              </w:rPr>
              <w:t>—</w:t>
            </w:r>
          </w:p>
        </w:tc>
        <w:tc>
          <w:tcPr>
            <w:tcW w:type="dxa" w:w="2948"/>
          </w:tcPr>
          <w:p>
            <w:pPr>
              <w:spacing w:lineRule="exact" w:line="600"/>
              <w:jc w:val="center"/>
            </w:pPr>
            <w:r/>
            <w:r>
              <w:rPr>
                <w:rFonts w:ascii="仿宋_GB2312" w:hAnsi="仿宋_GB2312" w:eastAsia="仿宋_GB2312"/>
                <w:b w:val="0"/>
                <w:color w:val="000000"/>
                <w:sz w:val="32"/>
              </w:rPr>
              <w:t>山东省第八批省级工业设计中心</w:t>
            </w:r>
          </w:p>
        </w:tc>
        <w:tc>
          <w:tcPr>
            <w:tcW w:type="dxa" w:w="2948"/>
          </w:tcPr>
          <w:p>
            <w:pPr>
              <w:spacing w:lineRule="exact" w:line="600"/>
              <w:jc w:val="center"/>
            </w:pPr>
            <w:r/>
            <w:r>
              <w:rPr>
                <w:rFonts w:ascii="仿宋_GB2312" w:hAnsi="仿宋_GB2312" w:eastAsia="仿宋_GB2312"/>
                <w:b w:val="0"/>
                <w:color w:val="000000"/>
                <w:sz w:val="32"/>
              </w:rPr>
              <w:t>山东省工业和信息化厅</w:t>
            </w:r>
          </w:p>
        </w:tc>
      </w:tr>
    </w:tbl>
    <w:p>
      <w:pPr>
        <w:spacing w:lineRule="exact" w:line="600" w:before="0" w:after="0"/>
        <w:ind w:firstLine="420"/>
        <w:jc w:val="both"/>
      </w:pPr>
      <w:r>
        <w:rPr>
          <w:rFonts w:ascii="仿宋_GB2312" w:hAnsi="仿宋_GB2312" w:eastAsia="仿宋_GB2312"/>
          <w:b w:val="0"/>
          <w:color w:val="000000"/>
          <w:sz w:val="32"/>
        </w:rPr>
        <w:t>上述资质中，"国家特种劳动防护产品定点大型生产企业"与产品CCC认证是公司参与建筑安全防护市场竞争的准入门槛，"绳、网、索缆制造行业排头兵企业"是行业地位的权威背书，中国建筑、中铁的供应商荣誉则是市场端的实证。官网同时披露，"安惠"牌安全网、密目式安全立网、安全带等系列产品被列为山东省"打假保优"重点保护产品、省建委建筑施工现场劳动防护准用产品，并被国家、省质量监督检验中心抽验96批次，合格率均达100%。连续抽检全部合格的记录，对于安全防护类产品企业而言是最核心的信用资产。需说明的是，抽检批次与合格率数据为企业自主披露，建议在尽调中通过国家及省级监督抽查公告予以交叉验证。</w:t>
      </w:r>
    </w:p>
    <w:p>
      <w:pPr>
        <w:spacing w:lineRule="exact" w:line="600" w:before="120" w:after="120"/>
        <w:ind w:firstLine="420"/>
        <w:jc w:val="left"/>
      </w:pPr>
      <w:r>
        <w:rPr>
          <w:rFonts w:ascii="楷体_GB2312" w:hAnsi="楷体_GB2312" w:eastAsia="楷体_GB2312"/>
          <w:b w:val="0"/>
          <w:color w:val="000000"/>
          <w:sz w:val="32"/>
        </w:rPr>
        <w:t>（五）品牌保护与假冒风险</w:t>
      </w:r>
    </w:p>
    <w:p>
      <w:pPr>
        <w:spacing w:lineRule="exact" w:line="600" w:before="0" w:after="0"/>
        <w:ind w:firstLine="420"/>
        <w:jc w:val="both"/>
      </w:pPr>
      <w:r>
        <w:rPr>
          <w:rFonts w:ascii="仿宋_GB2312" w:hAnsi="仿宋_GB2312" w:eastAsia="仿宋_GB2312"/>
          <w:b w:val="0"/>
          <w:color w:val="000000"/>
          <w:sz w:val="32"/>
        </w:rPr>
        <w:t>公司在官网发布《安惠重要声明》，指出"从对市场、网络、投标等多个销售渠道的调查，发现有很多假冒我公司名义进行"相关经营活动的情形。这一声明揭示了区域品牌企业面临的典型困境：在集群内数千家同类企业环伺的环境下，龙头企业的品牌与资质极易被冒用于投标、销售乃至融资场景。</w:t>
      </w:r>
    </w:p>
    <w:p>
      <w:pPr>
        <w:spacing w:lineRule="exact" w:line="600" w:before="0" w:after="0"/>
        <w:ind w:firstLine="420"/>
        <w:jc w:val="both"/>
      </w:pPr>
      <w:r>
        <w:rPr>
          <w:rFonts w:ascii="仿宋_GB2312" w:hAnsi="仿宋_GB2312" w:eastAsia="仿宋_GB2312"/>
          <w:b w:val="0"/>
          <w:color w:val="000000"/>
          <w:sz w:val="32"/>
        </w:rPr>
        <w:t>对金融机构而言，这一风险具有直接的业务警示意义：在开展保理、供应链金融业务时，若融资申请人声称与安惠绳网存在贸易往来或代理关系，必须通过安惠绳网官方渠道进行独立确认，不能仅凭合同、印章、授权书等书面材料判断，防止不法分子利用龙头企业名义骗取融资。建议与公司建立官方联系人核验机制，并将其列入重点核验清单。</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（一）财务信息披露状况</w:t>
      </w:r>
    </w:p>
    <w:p>
      <w:pPr>
        <w:spacing w:lineRule="exact" w:line="600" w:before="0" w:after="0"/>
        <w:ind w:firstLine="420"/>
        <w:jc w:val="both"/>
      </w:pPr>
      <w:r>
        <w:rPr>
          <w:rFonts w:ascii="仿宋_GB2312" w:hAnsi="仿宋_GB2312" w:eastAsia="仿宋_GB2312"/>
          <w:b w:val="0"/>
          <w:color w:val="000000"/>
          <w:sz w:val="32"/>
        </w:rPr>
        <w:t>公司为非上市有限责任公司，不属于《证券法》及相关信息披露规则规定的信息披露义务人，未发行公开债券或资产支持证券，未在任何公开渠道披露经审计的资产负债表、利润表、现金流量表及财务报表附注。截至本报告统计时点，通过国家企业信用信息公示系统、巨潮资讯网、中国货币网、上海清算所等渠道检索，均未获取到公司经审计的定期财务报告。</w:t>
      </w:r>
    </w:p>
    <w:p>
      <w:pPr>
        <w:spacing w:lineRule="exact" w:line="600" w:before="0" w:after="0"/>
        <w:jc w:val="left"/>
      </w:pPr>
      <w:r>
        <w:rPr>
          <w:rFonts w:ascii="仿宋_GB2312" w:hAnsi="仿宋_GB2312" w:eastAsia="仿宋_GB2312"/>
          <w:b w:val="0"/>
          <w:color w:val="000000"/>
          <w:sz w:val="28"/>
        </w:rPr>
        <w:t>据此，本报告对公司财务状况的判断如实标注为：财务数据未公开披露。公司官网披露的"年产值2亿元""固定资产6800万元""实现利税1800万元"系企业自主宣传口径，未经会计师事务所审计，且该表述发布时间较早（与"始建于一九七○年""职工1876人"等表述同页），不能等同于当期经审计的财务数据，仅作参考性引用，不得作为授信决策的直接依据。</w:t>
      </w:r>
    </w:p>
    <w:p>
      <w:pPr>
        <w:spacing w:lineRule="exact" w:line="600" w:before="120" w:after="120"/>
        <w:ind w:firstLine="420"/>
        <w:jc w:val="left"/>
      </w:pPr>
      <w:r>
        <w:rPr>
          <w:rFonts w:ascii="楷体_GB2312" w:hAnsi="楷体_GB2312" w:eastAsia="楷体_GB2312"/>
          <w:b w:val="0"/>
          <w:color w:val="000000"/>
          <w:sz w:val="32"/>
        </w:rPr>
        <w:t>（二）可获取的资本与经营规模指标</w:t>
      </w:r>
    </w:p>
    <w:tbl>
      <w:tblPr>
        <w:tblStyle w:val="TableGrid"/>
        <w:tblW w:type="auto" w:w="0"/>
        <w:jc w:val="center"/>
        <w:tblLook w:firstColumn="1" w:firstRow="1" w:lastColumn="0" w:lastRow="0" w:noHBand="0" w:noVBand="1" w:val="04A0"/>
      </w:tblPr>
      <w:tblGrid>
        <w:gridCol w:w="2948"/>
        <w:gridCol w:w="2948"/>
        <w:gridCol w:w="2948"/>
      </w:tblGrid>
      <w:tr>
        <w:tc>
          <w:tcPr>
            <w:tcW w:type="dxa" w:w="2948"/>
          </w:tcPr>
          <w:p>
            <w:pPr>
              <w:spacing w:lineRule="exact" w:line="600"/>
              <w:jc w:val="center"/>
            </w:pPr>
            <w:r/>
            <w:r>
              <w:rPr>
                <w:rFonts w:ascii="黑体" w:hAnsi="黑体" w:eastAsia="黑体"/>
                <w:b/>
                <w:color w:val="000000"/>
                <w:sz w:val="32"/>
              </w:rPr>
              <w:t>指标</w:t>
            </w:r>
          </w:p>
        </w:tc>
        <w:tc>
          <w:tcPr>
            <w:tcW w:type="dxa" w:w="2948"/>
          </w:tcPr>
          <w:p>
            <w:pPr>
              <w:spacing w:lineRule="exact" w:line="600"/>
              <w:jc w:val="center"/>
            </w:pPr>
            <w:r/>
            <w:r>
              <w:rPr>
                <w:rFonts w:ascii="黑体" w:hAnsi="黑体" w:eastAsia="黑体"/>
                <w:b/>
                <w:color w:val="000000"/>
                <w:sz w:val="32"/>
              </w:rPr>
              <w:t>数值/状态</w:t>
            </w:r>
          </w:p>
        </w:tc>
        <w:tc>
          <w:tcPr>
            <w:tcW w:type="dxa" w:w="2948"/>
          </w:tcPr>
          <w:p>
            <w:pPr>
              <w:spacing w:lineRule="exact" w:line="600"/>
              <w:jc w:val="center"/>
            </w:pPr>
            <w:r/>
            <w:r>
              <w:rPr>
                <w:rFonts w:ascii="黑体" w:hAnsi="黑体" w:eastAsia="黑体"/>
                <w:b/>
                <w:color w:val="000000"/>
                <w:sz w:val="32"/>
              </w:rPr>
              <w:t>说明</w:t>
            </w:r>
          </w:p>
        </w:tc>
      </w:tr>
      <w:tr>
        <w:tc>
          <w:tcPr>
            <w:tcW w:type="dxa" w:w="2948"/>
          </w:tcPr>
          <w:p>
            <w:pPr>
              <w:spacing w:lineRule="exact" w:line="600"/>
              <w:jc w:val="center"/>
            </w:pPr>
            <w:r/>
            <w:r>
              <w:rPr>
                <w:rFonts w:ascii="仿宋_GB2312" w:hAnsi="仿宋_GB2312" w:eastAsia="仿宋_GB2312"/>
                <w:b w:val="0"/>
                <w:color w:val="000000"/>
                <w:sz w:val="32"/>
              </w:rPr>
              <w:t>注册资本</w:t>
            </w:r>
          </w:p>
        </w:tc>
        <w:tc>
          <w:tcPr>
            <w:tcW w:type="dxa" w:w="2948"/>
          </w:tcPr>
          <w:p>
            <w:pPr>
              <w:spacing w:lineRule="exact" w:line="600"/>
              <w:jc w:val="center"/>
            </w:pPr>
            <w:r/>
            <w:r>
              <w:rPr>
                <w:rFonts w:ascii="仿宋_GB2312" w:hAnsi="仿宋_GB2312" w:eastAsia="仿宋_GB2312"/>
                <w:b w:val="0"/>
                <w:color w:val="000000"/>
                <w:sz w:val="32"/>
              </w:rPr>
              <w:t>2000万元人民币</w:t>
            </w:r>
          </w:p>
        </w:tc>
        <w:tc>
          <w:tcPr>
            <w:tcW w:type="dxa" w:w="2948"/>
          </w:tcPr>
          <w:p>
            <w:pPr>
              <w:spacing w:lineRule="exact" w:line="600"/>
              <w:jc w:val="center"/>
            </w:pPr>
            <w:r/>
            <w:r>
              <w:rPr>
                <w:rFonts w:ascii="仿宋_GB2312" w:hAnsi="仿宋_GB2312" w:eastAsia="仿宋_GB2312"/>
                <w:b w:val="0"/>
                <w:color w:val="000000"/>
                <w:sz w:val="32"/>
              </w:rPr>
              <w:t>工商登记</w:t>
            </w:r>
          </w:p>
        </w:tc>
      </w:tr>
      <w:tr>
        <w:tc>
          <w:tcPr>
            <w:tcW w:type="dxa" w:w="2948"/>
          </w:tcPr>
          <w:p>
            <w:pPr>
              <w:spacing w:lineRule="exact" w:line="600"/>
              <w:jc w:val="center"/>
            </w:pPr>
            <w:r/>
            <w:r>
              <w:rPr>
                <w:rFonts w:ascii="仿宋_GB2312" w:hAnsi="仿宋_GB2312" w:eastAsia="仿宋_GB2312"/>
                <w:b w:val="0"/>
                <w:color w:val="000000"/>
                <w:sz w:val="32"/>
              </w:rPr>
              <w:t>实缴资本</w:t>
            </w:r>
          </w:p>
        </w:tc>
        <w:tc>
          <w:tcPr>
            <w:tcW w:type="dxa" w:w="2948"/>
          </w:tcPr>
          <w:p>
            <w:pPr>
              <w:spacing w:lineRule="exact" w:line="600"/>
              <w:jc w:val="center"/>
            </w:pPr>
            <w:r/>
            <w:r>
              <w:rPr>
                <w:rFonts w:ascii="仿宋_GB2312" w:hAnsi="仿宋_GB2312" w:eastAsia="仿宋_GB2312"/>
                <w:b w:val="0"/>
                <w:color w:val="000000"/>
                <w:sz w:val="32"/>
              </w:rPr>
              <w:t>2000万元人民币</w:t>
            </w:r>
          </w:p>
        </w:tc>
        <w:tc>
          <w:tcPr>
            <w:tcW w:type="dxa" w:w="2948"/>
          </w:tcPr>
          <w:p>
            <w:pPr>
              <w:spacing w:lineRule="exact" w:line="600"/>
              <w:jc w:val="center"/>
            </w:pPr>
            <w:r/>
            <w:r>
              <w:rPr>
                <w:rFonts w:ascii="仿宋_GB2312" w:hAnsi="仿宋_GB2312" w:eastAsia="仿宋_GB2312"/>
                <w:b w:val="0"/>
                <w:color w:val="000000"/>
                <w:sz w:val="32"/>
              </w:rPr>
              <w:t>已全额实缴，超过98%山东省同行</w:t>
            </w:r>
          </w:p>
        </w:tc>
      </w:tr>
      <w:tr>
        <w:tc>
          <w:tcPr>
            <w:tcW w:type="dxa" w:w="2948"/>
          </w:tcPr>
          <w:p>
            <w:pPr>
              <w:spacing w:lineRule="exact" w:line="600"/>
              <w:jc w:val="center"/>
            </w:pPr>
            <w:r/>
            <w:r>
              <w:rPr>
                <w:rFonts w:ascii="仿宋_GB2312" w:hAnsi="仿宋_GB2312" w:eastAsia="仿宋_GB2312"/>
                <w:b w:val="0"/>
                <w:color w:val="000000"/>
                <w:sz w:val="32"/>
              </w:rPr>
              <w:t>年产值</w:t>
            </w:r>
          </w:p>
        </w:tc>
        <w:tc>
          <w:tcPr>
            <w:tcW w:type="dxa" w:w="2948"/>
          </w:tcPr>
          <w:p>
            <w:pPr>
              <w:spacing w:lineRule="exact" w:line="600"/>
              <w:jc w:val="center"/>
            </w:pPr>
            <w:r/>
            <w:r>
              <w:rPr>
                <w:rFonts w:ascii="仿宋_GB2312" w:hAnsi="仿宋_GB2312" w:eastAsia="仿宋_GB2312"/>
                <w:b w:val="0"/>
                <w:color w:val="000000"/>
                <w:sz w:val="32"/>
              </w:rPr>
              <w:t>2亿元（企业宣传口径，未经审计）</w:t>
            </w:r>
          </w:p>
        </w:tc>
        <w:tc>
          <w:tcPr>
            <w:tcW w:type="dxa" w:w="2948"/>
          </w:tcPr>
          <w:p>
            <w:pPr>
              <w:spacing w:lineRule="exact" w:line="600"/>
              <w:jc w:val="center"/>
            </w:pPr>
            <w:r/>
            <w:r>
              <w:rPr>
                <w:rFonts w:ascii="仿宋_GB2312" w:hAnsi="仿宋_GB2312" w:eastAsia="仿宋_GB2312"/>
                <w:b w:val="0"/>
                <w:color w:val="000000"/>
                <w:sz w:val="32"/>
              </w:rPr>
              <w:t>公司官网，非财务报表数据</w:t>
            </w:r>
          </w:p>
        </w:tc>
      </w:tr>
      <w:tr>
        <w:tc>
          <w:tcPr>
            <w:tcW w:type="dxa" w:w="2948"/>
          </w:tcPr>
          <w:p>
            <w:pPr>
              <w:spacing w:lineRule="exact" w:line="600"/>
              <w:jc w:val="center"/>
            </w:pPr>
            <w:r/>
            <w:r>
              <w:rPr>
                <w:rFonts w:ascii="仿宋_GB2312" w:hAnsi="仿宋_GB2312" w:eastAsia="仿宋_GB2312"/>
                <w:b w:val="0"/>
                <w:color w:val="000000"/>
                <w:sz w:val="32"/>
              </w:rPr>
              <w:t>固定资产</w:t>
            </w:r>
          </w:p>
        </w:tc>
        <w:tc>
          <w:tcPr>
            <w:tcW w:type="dxa" w:w="2948"/>
          </w:tcPr>
          <w:p>
            <w:pPr>
              <w:spacing w:lineRule="exact" w:line="600"/>
              <w:jc w:val="center"/>
            </w:pPr>
            <w:r/>
            <w:r>
              <w:rPr>
                <w:rFonts w:ascii="仿宋_GB2312" w:hAnsi="仿宋_GB2312" w:eastAsia="仿宋_GB2312"/>
                <w:b w:val="0"/>
                <w:color w:val="000000"/>
                <w:sz w:val="32"/>
              </w:rPr>
              <w:t>6800万元（企业宣传口径，未经审计）</w:t>
            </w:r>
          </w:p>
        </w:tc>
        <w:tc>
          <w:tcPr>
            <w:tcW w:type="dxa" w:w="2948"/>
          </w:tcPr>
          <w:p>
            <w:pPr>
              <w:spacing w:lineRule="exact" w:line="600"/>
              <w:jc w:val="center"/>
            </w:pPr>
            <w:r/>
            <w:r>
              <w:rPr>
                <w:rFonts w:ascii="仿宋_GB2312" w:hAnsi="仿宋_GB2312" w:eastAsia="仿宋_GB2312"/>
                <w:b w:val="0"/>
                <w:color w:val="000000"/>
                <w:sz w:val="32"/>
              </w:rPr>
              <w:t>公司官网，非财务报表数据</w:t>
            </w:r>
          </w:p>
        </w:tc>
      </w:tr>
      <w:tr>
        <w:tc>
          <w:tcPr>
            <w:tcW w:type="dxa" w:w="2948"/>
          </w:tcPr>
          <w:p>
            <w:pPr>
              <w:spacing w:lineRule="exact" w:line="600"/>
              <w:jc w:val="center"/>
            </w:pPr>
            <w:r/>
            <w:r>
              <w:rPr>
                <w:rFonts w:ascii="仿宋_GB2312" w:hAnsi="仿宋_GB2312" w:eastAsia="仿宋_GB2312"/>
                <w:b w:val="0"/>
                <w:color w:val="000000"/>
                <w:sz w:val="32"/>
              </w:rPr>
              <w:t>实现利税</w:t>
            </w:r>
          </w:p>
        </w:tc>
        <w:tc>
          <w:tcPr>
            <w:tcW w:type="dxa" w:w="2948"/>
          </w:tcPr>
          <w:p>
            <w:pPr>
              <w:spacing w:lineRule="exact" w:line="600"/>
              <w:jc w:val="center"/>
            </w:pPr>
            <w:r/>
            <w:r>
              <w:rPr>
                <w:rFonts w:ascii="仿宋_GB2312" w:hAnsi="仿宋_GB2312" w:eastAsia="仿宋_GB2312"/>
                <w:b w:val="0"/>
                <w:color w:val="000000"/>
                <w:sz w:val="32"/>
              </w:rPr>
              <w:t>1800万元（企业宣传口径，未经审计）</w:t>
            </w:r>
          </w:p>
        </w:tc>
        <w:tc>
          <w:tcPr>
            <w:tcW w:type="dxa" w:w="2948"/>
          </w:tcPr>
          <w:p>
            <w:pPr>
              <w:spacing w:lineRule="exact" w:line="600"/>
              <w:jc w:val="center"/>
            </w:pPr>
            <w:r/>
            <w:r>
              <w:rPr>
                <w:rFonts w:ascii="仿宋_GB2312" w:hAnsi="仿宋_GB2312" w:eastAsia="仿宋_GB2312"/>
                <w:b w:val="0"/>
                <w:color w:val="000000"/>
                <w:sz w:val="32"/>
              </w:rPr>
              <w:t>公司官网，非财务报表数据</w:t>
            </w:r>
          </w:p>
        </w:tc>
      </w:tr>
      <w:tr>
        <w:tc>
          <w:tcPr>
            <w:tcW w:type="dxa" w:w="2948"/>
          </w:tcPr>
          <w:p>
            <w:pPr>
              <w:spacing w:lineRule="exact" w:line="600"/>
              <w:jc w:val="center"/>
            </w:pPr>
            <w:r/>
            <w:r>
              <w:rPr>
                <w:rFonts w:ascii="仿宋_GB2312" w:hAnsi="仿宋_GB2312" w:eastAsia="仿宋_GB2312"/>
                <w:b w:val="0"/>
                <w:color w:val="000000"/>
                <w:sz w:val="32"/>
              </w:rPr>
              <w:t>营业收入</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净利润</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资产总额</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负债总额</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资产负债率</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经营活动现金流</w:t>
            </w:r>
          </w:p>
        </w:tc>
        <w:tc>
          <w:tcPr>
            <w:tcW w:type="dxa" w:w="2948"/>
          </w:tcPr>
          <w:p>
            <w:pPr>
              <w:spacing w:lineRule="exact" w:line="600"/>
              <w:jc w:val="center"/>
            </w:pPr>
            <w:r/>
            <w:r>
              <w:rPr>
                <w:rFonts w:ascii="仿宋_GB2312" w:hAnsi="仿宋_GB2312" w:eastAsia="仿宋_GB2312"/>
                <w:b w:val="0"/>
                <w:color w:val="000000"/>
                <w:sz w:val="32"/>
              </w:rPr>
              <w:t>财务数据未公开披露</w:t>
            </w:r>
          </w:p>
        </w:tc>
        <w:tc>
          <w:tcPr>
            <w:tcW w:type="dxa" w:w="2948"/>
          </w:tcPr>
          <w:p>
            <w:pPr>
              <w:spacing w:lineRule="exact" w:line="600"/>
              <w:jc w:val="center"/>
            </w:pPr>
            <w:r/>
            <w:r>
              <w:rPr>
                <w:rFonts w:ascii="仿宋_GB2312" w:hAnsi="仿宋_GB2312" w:eastAsia="仿宋_GB2312"/>
                <w:b w:val="0"/>
                <w:color w:val="000000"/>
                <w:sz w:val="32"/>
              </w:rPr>
              <w:t>非上市企业未披露</w:t>
            </w:r>
          </w:p>
        </w:tc>
      </w:tr>
      <w:tr>
        <w:tc>
          <w:tcPr>
            <w:tcW w:type="dxa" w:w="2948"/>
          </w:tcPr>
          <w:p>
            <w:pPr>
              <w:spacing w:lineRule="exact" w:line="600"/>
              <w:jc w:val="center"/>
            </w:pPr>
            <w:r/>
            <w:r>
              <w:rPr>
                <w:rFonts w:ascii="仿宋_GB2312" w:hAnsi="仿宋_GB2312" w:eastAsia="仿宋_GB2312"/>
                <w:b w:val="0"/>
                <w:color w:val="000000"/>
                <w:sz w:val="32"/>
              </w:rPr>
              <w:t>企业规模认定</w:t>
            </w:r>
          </w:p>
        </w:tc>
        <w:tc>
          <w:tcPr>
            <w:tcW w:type="dxa" w:w="2948"/>
          </w:tcPr>
          <w:p>
            <w:pPr>
              <w:spacing w:lineRule="exact" w:line="600"/>
              <w:jc w:val="center"/>
            </w:pPr>
            <w:r/>
            <w:r>
              <w:rPr>
                <w:rFonts w:ascii="仿宋_GB2312" w:hAnsi="仿宋_GB2312" w:eastAsia="仿宋_GB2312"/>
                <w:b w:val="0"/>
                <w:color w:val="000000"/>
                <w:sz w:val="32"/>
              </w:rPr>
              <w:t>小微企业（公示口径）</w:t>
            </w:r>
          </w:p>
        </w:tc>
        <w:tc>
          <w:tcPr>
            <w:tcW w:type="dxa" w:w="2948"/>
          </w:tcPr>
          <w:p>
            <w:pPr>
              <w:spacing w:lineRule="exact" w:line="600"/>
              <w:jc w:val="center"/>
            </w:pPr>
            <w:r/>
            <w:r>
              <w:rPr>
                <w:rFonts w:ascii="仿宋_GB2312" w:hAnsi="仿宋_GB2312" w:eastAsia="仿宋_GB2312"/>
                <w:b w:val="0"/>
                <w:color w:val="000000"/>
                <w:sz w:val="32"/>
              </w:rPr>
              <w:t>与企业宣传经营体量差异较大</w:t>
            </w:r>
          </w:p>
        </w:tc>
      </w:tr>
    </w:tbl>
    <w:p>
      <w:pPr>
        <w:spacing w:lineRule="exact" w:line="600" w:before="0" w:after="0"/>
        <w:ind w:firstLine="420"/>
        <w:jc w:val="both"/>
      </w:pPr>
      <w:r>
        <w:rPr>
          <w:rFonts w:ascii="仿宋_GB2312" w:hAnsi="仿宋_GB2312" w:eastAsia="仿宋_GB2312"/>
          <w:b w:val="0"/>
          <w:color w:val="000000"/>
          <w:sz w:val="32"/>
        </w:rPr>
        <w:t>若以企业自主宣传的年产值2亿元、利税1800万元测算，利税率约为9%，在制造业中属于中等偏上水平，与其"资质壁垒+央企客户"的经营模式相符。但必须强调，该组数据未经审计且时效性存疑，不能作为定量分析基础。工商公示将公司认定为"小微企业"，而其宣称的产值与固定资产规模显著超出小微企业标准，这一矛盾提示：公示的企业规模标签主要依据参保人数与填报数据生成，不能作为客户分层的依据。</w:t>
      </w:r>
    </w:p>
    <w:p>
      <w:pPr>
        <w:spacing w:lineRule="exact" w:line="600" w:before="120" w:after="120"/>
        <w:ind w:firstLine="420"/>
        <w:jc w:val="left"/>
      </w:pPr>
      <w:r>
        <w:rPr>
          <w:rFonts w:ascii="楷体_GB2312" w:hAnsi="楷体_GB2312" w:eastAsia="楷体_GB2312"/>
          <w:b w:val="0"/>
          <w:color w:val="000000"/>
          <w:sz w:val="32"/>
        </w:rPr>
        <w:t>（三）盈利能力的定性判断</w:t>
      </w:r>
    </w:p>
    <w:p>
      <w:pPr>
        <w:spacing w:lineRule="exact" w:line="600" w:before="0" w:after="0"/>
        <w:ind w:firstLine="420"/>
        <w:jc w:val="both"/>
      </w:pPr>
      <w:r>
        <w:rPr>
          <w:rFonts w:ascii="仿宋_GB2312" w:hAnsi="仿宋_GB2312" w:eastAsia="仿宋_GB2312"/>
          <w:b w:val="0"/>
          <w:color w:val="000000"/>
          <w:sz w:val="32"/>
        </w:rPr>
        <w:t>公司盈利能力的支撑因素较为清晰：一是产品属于强制性认证管理的特种劳动防护用品，行业准入门槛高，价格竞争相对温和；二是客户为中国建筑、中铁建设、山东高速等央企与省属国企，采购规模稳定、对质量的重视程度高于对价格的敏感度；三是公司具备从高强丝、中强丝、色母料到成品网具的部分纵向一体化能力，可在原料端获取额外毛利；四是高新技术企业身份可享受税收优惠（需以最新有效期内的资格认定为准）。</w:t>
      </w:r>
    </w:p>
    <w:p>
      <w:pPr>
        <w:spacing w:lineRule="exact" w:line="600" w:before="0" w:after="0"/>
        <w:ind w:firstLine="420"/>
        <w:jc w:val="both"/>
      </w:pPr>
      <w:r>
        <w:rPr>
          <w:rFonts w:ascii="仿宋_GB2312" w:hAnsi="仿宋_GB2312" w:eastAsia="仿宋_GB2312"/>
          <w:b w:val="0"/>
          <w:color w:val="000000"/>
          <w:sz w:val="32"/>
        </w:rPr>
        <w:t>制约因素同样存在：一是工程建设领域客户账期普遍较长，且存在质保金扣留、以商业承兑汇票或供应链票据支付等安排，会显著拉长资金占用周期、推高财务费用；二是房地产与基建投资增速放缓，建筑施工用安全防护产品的总需求承压；三是自建18个城市直销办事处的固定成本较高，在销量下滑时形成经营杠杆的负面放大效应；四是原材料聚烯烃与涤纶工业丝价格波动难以及时向国企客户传导（招标价格通常锁定）。</w:t>
      </w:r>
    </w:p>
    <w:p>
      <w:pPr>
        <w:spacing w:lineRule="exact" w:line="600" w:before="120" w:after="120"/>
        <w:ind w:firstLine="420"/>
        <w:jc w:val="left"/>
      </w:pPr>
      <w:r>
        <w:rPr>
          <w:rFonts w:ascii="楷体_GB2312" w:hAnsi="楷体_GB2312" w:eastAsia="楷体_GB2312"/>
          <w:b w:val="0"/>
          <w:color w:val="000000"/>
          <w:sz w:val="32"/>
        </w:rPr>
        <w:t>（四）偿债能力与流动性的定性判断</w:t>
      </w:r>
    </w:p>
    <w:p>
      <w:pPr>
        <w:spacing w:lineRule="exact" w:line="600" w:before="0" w:after="0"/>
        <w:ind w:firstLine="420"/>
        <w:jc w:val="both"/>
      </w:pPr>
      <w:r>
        <w:rPr>
          <w:rFonts w:ascii="仿宋_GB2312" w:hAnsi="仿宋_GB2312" w:eastAsia="仿宋_GB2312"/>
          <w:b w:val="0"/>
          <w:color w:val="000000"/>
          <w:sz w:val="32"/>
        </w:rPr>
        <w:t>公司注册资本2000万元全额实缴，固定资产（企业口径）6800万元，拥有自有厂房与大量生产设备，具备一定的抵押担保基础。但工程建设领域供应商的普遍特征是"应收账款高、存货高、现金流紧"，公司参与招投标133次、服务多家央企项目，应收账款规模与账龄结构很可能是其财务状况的关键变量。</w:t>
      </w:r>
    </w:p>
    <w:p>
      <w:pPr>
        <w:spacing w:lineRule="exact" w:line="600" w:before="0" w:after="0"/>
        <w:ind w:firstLine="420"/>
        <w:jc w:val="both"/>
      </w:pPr>
      <w:r>
        <w:rPr>
          <w:rFonts w:ascii="仿宋_GB2312" w:hAnsi="仿宋_GB2312" w:eastAsia="仿宋_GB2312"/>
          <w:b w:val="0"/>
          <w:color w:val="000000"/>
          <w:sz w:val="32"/>
        </w:rPr>
        <w:t>在无法获取真实报表的情况下，建议通过以下方式穿透验证：一是调取近三年增值税纳税申报表与企业所得税年度汇算清缴报告，还原真实营收与利润；二是调取人民银行企业征信报告，掌握授信总量、用信余额、对外担保与还款记录；三是查询中国裁判文书网、全国法院被执行人信息查询系统，核查是否存在买卖合同纠纷导致的应收账款损失；四是查询动产融资统一登记公示系统与不动产登记信息，确认设备与厂房是否已设押；五是要求提供主要客户（中国建筑、中铁建设、山东高速等）的近三年结算对账单，验证收入真实性与回款节奏。</w:t>
      </w:r>
    </w:p>
    <w:p>
      <w:pPr>
        <w:spacing w:lineRule="exact" w:line="600" w:before="120" w:after="120"/>
        <w:ind w:firstLine="420"/>
        <w:jc w:val="left"/>
      </w:pPr>
      <w:r>
        <w:rPr>
          <w:rFonts w:ascii="楷体_GB2312" w:hAnsi="楷体_GB2312" w:eastAsia="楷体_GB2312"/>
          <w:b w:val="0"/>
          <w:color w:val="000000"/>
          <w:sz w:val="32"/>
        </w:rPr>
        <w:t>（五）涉诉与信用风险信息</w:t>
      </w:r>
    </w:p>
    <w:p>
      <w:pPr>
        <w:spacing w:lineRule="exact" w:line="600" w:before="0" w:after="0"/>
        <w:ind w:firstLine="420"/>
        <w:jc w:val="both"/>
      </w:pPr>
      <w:r>
        <w:rPr>
          <w:rFonts w:ascii="仿宋_GB2312" w:hAnsi="仿宋_GB2312" w:eastAsia="仿宋_GB2312"/>
          <w:b w:val="0"/>
          <w:color w:val="000000"/>
          <w:sz w:val="32"/>
        </w:rPr>
        <w:t>据天眼查大数据统计，公司存在天眼风险信息50条，裁判文书2条，涉诉关系18条，开庭公告10条。对于一家参与招投标133次、服务大型建筑施工企业的供应商而言，涉诉主要可能集中于买卖合同货款纠纷。开庭公告10条相对涉诉关系18条占比偏高，提示存在若干正在审理中的案件，需逐案核查案由、诉讼地位（原告或被告）、标的金额与进展。若公司多为原告身份追讨货款，反映其应收账款回收存在压力；若多为被告身份，则需重点关注是否涉及产品质量责任或履约违约。</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自然人投资或控股），法定代表人高风花。相比一人有限责任公司，自然人投资或控股的多股东结构在治理上具备一定的内部制衡基础，但县域民营企业普遍存在股东与管理层高度重合、家族成员担任关键岗位的情况，实际决策仍集中于实际控制人。公司名称虽含"集团"，但未形成实质性集团管控架构，母子公司之间的授权体系、财务集中管理、内部审计等机制尚待完善。</w:t>
      </w:r>
    </w:p>
    <w:p>
      <w:pPr>
        <w:spacing w:lineRule="exact" w:line="600" w:before="0" w:after="0"/>
        <w:ind w:firstLine="420"/>
        <w:jc w:val="both"/>
      </w:pPr>
      <w:r>
        <w:rPr>
          <w:rFonts w:ascii="仿宋_GB2312" w:hAnsi="仿宋_GB2312" w:eastAsia="仿宋_GB2312"/>
          <w:b w:val="0"/>
          <w:color w:val="000000"/>
          <w:sz w:val="32"/>
        </w:rPr>
        <w:t>建议在授信审查中重点核查：公司章程约定的重大事项决策程序；股东会、董事会（或执行董事）的实际运作与决议记录；是否设置监事或监事会并实际履职；关联交易的定价与审批机制；实际控制人及其近亲属在其他企业的任职与持股情况。</w:t>
      </w:r>
    </w:p>
    <w:p>
      <w:pPr>
        <w:spacing w:lineRule="exact" w:line="600" w:before="120" w:after="120"/>
        <w:ind w:firstLine="420"/>
        <w:jc w:val="left"/>
      </w:pPr>
      <w:r>
        <w:rPr>
          <w:rFonts w:ascii="楷体_GB2312" w:hAnsi="楷体_GB2312" w:eastAsia="楷体_GB2312"/>
          <w:b w:val="0"/>
          <w:color w:val="000000"/>
          <w:sz w:val="32"/>
        </w:rPr>
        <w:t>（二）经营管理与质量体系</w:t>
      </w:r>
    </w:p>
    <w:p>
      <w:pPr>
        <w:spacing w:lineRule="exact" w:line="600" w:before="0" w:after="0"/>
        <w:ind w:firstLine="420"/>
        <w:jc w:val="both"/>
      </w:pPr>
      <w:r>
        <w:rPr>
          <w:rFonts w:ascii="仿宋_GB2312" w:hAnsi="仿宋_GB2312" w:eastAsia="仿宋_GB2312"/>
          <w:b w:val="0"/>
          <w:color w:val="000000"/>
          <w:sz w:val="32"/>
        </w:rPr>
        <w:t>公司资质齐全，通过ISO9001质量管理体系、环境管理体系、职业健康安全管理体系三体系认证，产品通过CCC认证并持有消防认证证书。据官网披露，公司是省内同行业中首家通过ISO9001:2000国际质量管理体系认证的企业，质保体系完善、检测设备齐全。对于安全防护用品制造企业，三体系认证与产品强制认证不仅是市场准入条件，更是防范重大产品责任风险的制度屏障。</w:t>
      </w:r>
    </w:p>
    <w:p>
      <w:pPr>
        <w:spacing w:lineRule="exact" w:line="600" w:before="0" w:after="0"/>
        <w:ind w:firstLine="420"/>
        <w:jc w:val="both"/>
      </w:pPr>
      <w:r>
        <w:rPr>
          <w:rFonts w:ascii="仿宋_GB2312" w:hAnsi="仿宋_GB2312" w:eastAsia="仿宋_GB2312"/>
          <w:b w:val="0"/>
          <w:color w:val="000000"/>
          <w:sz w:val="32"/>
        </w:rPr>
        <w:t>公司经营理念上强调"与时俱进、乘势快上、创新求变、自强不息"的安惠精神，并在领导致辞中提出"形成了一整套理念体系、价值观念和经营机制，造就了一支敢打硬仗、能打胜仗的营销职工队伍"。从其18个城市直销办事处的布局看，营销体系确为公司管理的重心所在。</w:t>
      </w:r>
    </w:p>
    <w:p>
      <w:pPr>
        <w:spacing w:lineRule="exact" w:line="600" w:before="0" w:after="0"/>
        <w:ind w:firstLine="420"/>
        <w:jc w:val="both"/>
      </w:pPr>
      <w:r>
        <w:rPr>
          <w:rFonts w:ascii="仿宋_GB2312" w:hAnsi="仿宋_GB2312" w:eastAsia="仿宋_GB2312"/>
          <w:b w:val="0"/>
          <w:color w:val="000000"/>
          <w:sz w:val="32"/>
        </w:rPr>
        <w:t>管理短板方面：一是数字化程度有待提升，公司经营范围虽含第二类增值电信业务，但公开信息中未见ERP、MES等信息化系统建设的披露；二是供应链管理与外协质量管控在大量灵活用工背景下面临挑战；三是财务管理规范化程度不足，缺乏经审计的财务报告，不利于对接资本市场与大型金融机构的授信体系。</w:t>
      </w:r>
    </w:p>
    <w:p>
      <w:pPr>
        <w:spacing w:lineRule="exact" w:line="600" w:before="120" w:after="120"/>
        <w:ind w:firstLine="420"/>
        <w:jc w:val="left"/>
      </w:pPr>
      <w:r>
        <w:rPr>
          <w:rFonts w:ascii="楷体_GB2312" w:hAnsi="楷体_GB2312" w:eastAsia="楷体_GB2312"/>
          <w:b w:val="0"/>
          <w:color w:val="000000"/>
          <w:sz w:val="32"/>
        </w:rPr>
        <w:t>（三）人力资源状况</w:t>
      </w:r>
    </w:p>
    <w:p>
      <w:pPr>
        <w:spacing w:lineRule="exact" w:line="600" w:before="0" w:after="0"/>
        <w:ind w:firstLine="420"/>
        <w:jc w:val="both"/>
      </w:pPr>
      <w:r>
        <w:rPr>
          <w:rFonts w:ascii="仿宋_GB2312" w:hAnsi="仿宋_GB2312" w:eastAsia="仿宋_GB2312"/>
          <w:b w:val="0"/>
          <w:color w:val="000000"/>
          <w:sz w:val="32"/>
        </w:rPr>
        <w:t>公司自述现有职工1800余人（另有1876人的具体表述），工商公示参保人数为14人。如前所述，这一差异源于产业的柔性用工组织形态，但14人的参保规模与78台套密目织网机、36台合绳机的设备体量之间仍存在明显不匹配，提示企业可能存在大量未参保的实际用工，或近年用工规模已大幅缩减。建议在尽调中通过实地清点在岗人数、核查工资发放流水、查阅个人所得税代扣代缴申报明细等方式还原真实用工规模。</w:t>
      </w:r>
    </w:p>
    <w:p>
      <w:pPr>
        <w:spacing w:lineRule="exact" w:line="600" w:before="0" w:after="0"/>
        <w:ind w:firstLine="420"/>
        <w:jc w:val="both"/>
      </w:pPr>
      <w:r>
        <w:rPr>
          <w:rFonts w:ascii="仿宋_GB2312" w:hAnsi="仿宋_GB2312" w:eastAsia="仿宋_GB2312"/>
          <w:b w:val="0"/>
          <w:color w:val="000000"/>
          <w:sz w:val="32"/>
        </w:rPr>
        <w:t>正面因素是，公司于2025年获批"山东省博士后创新实践基地"，具备引进博士后等高层次人才的平台资格，有望改善县域企业高端人才"引不进、留不住"的普遍困境。此外，入选省级工业设计中心也意味着公司拥有一定规模的专业设计人员队伍。</w:t>
      </w:r>
    </w:p>
    <w:p>
      <w:pPr>
        <w:spacing w:lineRule="exact" w:line="600" w:before="0" w:after="0"/>
        <w:ind w:firstLine="420"/>
        <w:jc w:val="both"/>
      </w:pPr>
      <w:r>
        <w:rPr>
          <w:rFonts w:ascii="仿宋_GB2312" w:hAnsi="仿宋_GB2312" w:eastAsia="仿宋_GB2312"/>
          <w:b w:val="0"/>
          <w:color w:val="000000"/>
          <w:sz w:val="32"/>
        </w:rPr>
        <w:t>人力资源风险方面：一是参保人数与实际用工的巨大落差构成社保合规敞口，存在被要求补缴的或有负债；二是外协工坊人员在生产过程中发生工伤事故时，责任认定与赔偿承担可能追及企业；三是县域人才吸引力有限，博士后基地能否实质性运作有待观察。</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（一）资质壁垒与行业地位</w:t>
      </w:r>
    </w:p>
    <w:p>
      <w:pPr>
        <w:spacing w:lineRule="exact" w:line="600" w:before="0" w:after="0"/>
        <w:ind w:firstLine="420"/>
        <w:jc w:val="both"/>
      </w:pPr>
      <w:r>
        <w:rPr>
          <w:rFonts w:ascii="仿宋_GB2312" w:hAnsi="仿宋_GB2312" w:eastAsia="仿宋_GB2312"/>
          <w:b w:val="0"/>
          <w:color w:val="000000"/>
          <w:sz w:val="32"/>
        </w:rPr>
        <w:t>公司最核心的竞争力在于其在特种劳动防护用品领域积累的完整资质体系：国家特种劳动防护产品定点大型生产企业、产品CCC认证、消防认证、三体系认证、省建委建筑施工现场劳动防护准用产品、山东省"打假保优"重点保护产品，以及2025年取得的全省首张逃生绳相关认证。这些资质需要长期的质量记录、持续的检测投入和严格的现场审核才能获得与维持，构成对新进入者的实质性壁垒。同时，"绳、网、索缆制造行业排头兵企业"的行业定位，使公司在国家标准、行业标准的制修订活动中具有话语权。</w:t>
      </w:r>
    </w:p>
    <w:p>
      <w:pPr>
        <w:spacing w:lineRule="exact" w:line="600" w:before="120" w:after="120"/>
        <w:ind w:firstLine="420"/>
        <w:jc w:val="left"/>
      </w:pPr>
      <w:r>
        <w:rPr>
          <w:rFonts w:ascii="楷体_GB2312" w:hAnsi="楷体_GB2312" w:eastAsia="楷体_GB2312"/>
          <w:b w:val="0"/>
          <w:color w:val="000000"/>
          <w:sz w:val="32"/>
        </w:rPr>
        <w:t>（二）央企国企客户资源</w:t>
      </w:r>
    </w:p>
    <w:p>
      <w:pPr>
        <w:spacing w:lineRule="exact" w:line="600" w:before="0" w:after="0"/>
        <w:ind w:firstLine="420"/>
        <w:jc w:val="both"/>
      </w:pPr>
      <w:r>
        <w:rPr>
          <w:rFonts w:ascii="仿宋_GB2312" w:hAnsi="仿宋_GB2312" w:eastAsia="仿宋_GB2312"/>
          <w:b w:val="0"/>
          <w:color w:val="000000"/>
          <w:sz w:val="32"/>
        </w:rPr>
        <w:t>进入中国建筑集团、中铁建设集团、山东高速等大型央企国企的合格供应商名录，并获得"优秀供应商""年度百强供应商"评价，是公司区别于集群内绝大多数企业的关键优势。央企国企供应商体系具有准入难、粘性强、订单持续性好、信用风险低的特点，一旦形成稳定合作关系，可穿越行业周期。133次招投标参与记录也说明公司具备成熟的招投标响应能力与标准化的商务文件体系。</w:t>
      </w:r>
    </w:p>
    <w:p>
      <w:pPr>
        <w:spacing w:lineRule="exact" w:line="600" w:before="120" w:after="120"/>
        <w:ind w:firstLine="420"/>
        <w:jc w:val="left"/>
      </w:pPr>
      <w:r>
        <w:rPr>
          <w:rFonts w:ascii="楷体_GB2312" w:hAnsi="楷体_GB2312" w:eastAsia="楷体_GB2312"/>
          <w:b w:val="0"/>
          <w:color w:val="000000"/>
          <w:sz w:val="32"/>
        </w:rPr>
        <w:t>（三）产品线完整度与一站式供货能力</w:t>
      </w:r>
    </w:p>
    <w:p>
      <w:pPr>
        <w:spacing w:lineRule="exact" w:line="600" w:before="0" w:after="0"/>
        <w:ind w:firstLine="420"/>
        <w:jc w:val="both"/>
      </w:pPr>
      <w:r>
        <w:rPr>
          <w:rFonts w:ascii="仿宋_GB2312" w:hAnsi="仿宋_GB2312" w:eastAsia="仿宋_GB2312"/>
          <w:b w:val="0"/>
          <w:color w:val="000000"/>
          <w:sz w:val="32"/>
        </w:rPr>
        <w:t>公司产品覆盖安全网、安全带、安全绳、密目式安全立网、软梯、坐板、吊装带、安全帽、反光衣，并向上延伸至高强丝、中强丝、阻燃剂、色母料，向侧延伸至土工布、土工格栅。这种宽度使公司能够承接大型工程项目的安全防护整体打包采购，在集中招标中相对单品类供应商更具优势，同时也提升了单客户的价值贡献与合作深度。</w:t>
      </w:r>
    </w:p>
    <w:p>
      <w:pPr>
        <w:spacing w:lineRule="exact" w:line="600" w:before="120" w:after="120"/>
        <w:ind w:firstLine="420"/>
        <w:jc w:val="left"/>
      </w:pPr>
      <w:r>
        <w:rPr>
          <w:rFonts w:ascii="楷体_GB2312" w:hAnsi="楷体_GB2312" w:eastAsia="楷体_GB2312"/>
          <w:b w:val="0"/>
          <w:color w:val="000000"/>
          <w:sz w:val="32"/>
        </w:rPr>
        <w:t>（四）自建直销网络</w:t>
      </w:r>
    </w:p>
    <w:p>
      <w:pPr>
        <w:spacing w:lineRule="exact" w:line="600" w:before="0" w:after="0"/>
        <w:ind w:firstLine="420"/>
        <w:jc w:val="both"/>
      </w:pPr>
      <w:r>
        <w:rPr>
          <w:rFonts w:ascii="仿宋_GB2312" w:hAnsi="仿宋_GB2312" w:eastAsia="仿宋_GB2312"/>
          <w:b w:val="0"/>
          <w:color w:val="000000"/>
          <w:sz w:val="32"/>
        </w:rPr>
        <w:t>在北京、青岛、德州、西安等18个重点城市设立直销办事处，推行定区域直销机制，使公司能够贴近工程项目现场，快速响应交付需求、及时处理质量反馈、第一时间获取新项目信息。在以工程项目为单位、需求分散且时效要求高的建筑防护用品市场，本地化服务能力是成交转化的关键因素。</w:t>
      </w:r>
    </w:p>
    <w:p>
      <w:pPr>
        <w:spacing w:lineRule="exact" w:line="600" w:before="120" w:after="120"/>
        <w:ind w:firstLine="420"/>
        <w:jc w:val="left"/>
      </w:pPr>
      <w:r>
        <w:rPr>
          <w:rFonts w:ascii="楷体_GB2312" w:hAnsi="楷体_GB2312" w:eastAsia="楷体_GB2312"/>
          <w:b w:val="0"/>
          <w:color w:val="000000"/>
          <w:sz w:val="32"/>
        </w:rPr>
        <w:t>（五）创新平台与技术升级能力</w:t>
      </w:r>
    </w:p>
    <w:p>
      <w:pPr>
        <w:spacing w:lineRule="exact" w:line="600" w:before="0" w:after="0"/>
        <w:ind w:firstLine="420"/>
        <w:jc w:val="both"/>
      </w:pPr>
      <w:r>
        <w:rPr>
          <w:rFonts w:ascii="仿宋_GB2312" w:hAnsi="仿宋_GB2312" w:eastAsia="仿宋_GB2312"/>
          <w:b w:val="0"/>
          <w:color w:val="000000"/>
          <w:sz w:val="32"/>
        </w:rPr>
        <w:t>省级博士后创新实践基地、省级工业设计中心两大平台的获批，加上36项以上专利（含发明专利8项），为公司在高性能纤维应用、人机工程优化、消防应急新品类拓展等方向提供了持续创新的组织保障。在特种劳动防护用品标准不断趋严的趋势下，技术升级能力将决定企业能否持续保持资质领先。</w:t>
      </w:r>
    </w:p>
    <w:p>
      <w:pPr>
        <w:spacing w:lineRule="exact" w:line="600" w:before="120" w:after="120"/>
        <w:ind w:firstLine="420"/>
        <w:jc w:val="left"/>
      </w:pPr>
      <w:r>
        <w:rPr>
          <w:rFonts w:ascii="楷体_GB2312" w:hAnsi="楷体_GB2312" w:eastAsia="楷体_GB2312"/>
          <w:b w:val="0"/>
          <w:color w:val="000000"/>
          <w:sz w:val="32"/>
        </w:rPr>
        <w:t>（六）竞争劣势与短板</w:t>
      </w:r>
    </w:p>
    <w:p>
      <w:pPr>
        <w:spacing w:lineRule="exact" w:line="600" w:before="0" w:after="0"/>
        <w:ind w:firstLine="420"/>
        <w:jc w:val="both"/>
      </w:pPr>
      <w:r>
        <w:rPr>
          <w:rFonts w:ascii="仿宋_GB2312" w:hAnsi="仿宋_GB2312" w:eastAsia="仿宋_GB2312"/>
          <w:b w:val="0"/>
          <w:color w:val="000000"/>
          <w:sz w:val="32"/>
        </w:rPr>
        <w:t>一是客户集中于建筑施工领域，与房地产、基建投资周期高度绑定，在行业下行期缺乏有效对冲。相比同集群转向出口市场的企业，公司的市场结构多元化程度不足。</w:t>
      </w:r>
    </w:p>
    <w:p>
      <w:pPr>
        <w:spacing w:lineRule="exact" w:line="600" w:before="0" w:after="0"/>
        <w:ind w:firstLine="420"/>
        <w:jc w:val="both"/>
      </w:pPr>
      <w:r>
        <w:rPr>
          <w:rFonts w:ascii="仿宋_GB2312" w:hAnsi="仿宋_GB2312" w:eastAsia="仿宋_GB2312"/>
          <w:b w:val="0"/>
          <w:color w:val="000000"/>
          <w:sz w:val="32"/>
        </w:rPr>
        <w:t>二是国内工程渠道的账期与结算方式对现金流形成持续压力，大量应收账款与质保金沉淀在项目端，限制了企业的再投资能力。</w:t>
      </w:r>
    </w:p>
    <w:p>
      <w:pPr>
        <w:spacing w:lineRule="exact" w:line="600" w:before="0" w:after="0"/>
        <w:ind w:firstLine="420"/>
        <w:jc w:val="both"/>
      </w:pPr>
      <w:r>
        <w:rPr>
          <w:rFonts w:ascii="仿宋_GB2312" w:hAnsi="仿宋_GB2312" w:eastAsia="仿宋_GB2312"/>
          <w:b w:val="0"/>
          <w:color w:val="000000"/>
          <w:sz w:val="32"/>
        </w:rPr>
        <w:t>三是企业规模扩张受限。注册资本2000万元、固定资产6800万元的体量，相对其宣称的1800余人用工规模和覆盖全国的销售网络而言偏小，资本实力难以支撑大规模的产能升级与智能化改造投入。</w:t>
      </w:r>
    </w:p>
    <w:p>
      <w:pPr>
        <w:spacing w:lineRule="exact" w:line="600" w:before="0" w:after="0"/>
        <w:ind w:firstLine="420"/>
        <w:jc w:val="both"/>
      </w:pPr>
      <w:r>
        <w:rPr>
          <w:rFonts w:ascii="仿宋_GB2312" w:hAnsi="仿宋_GB2312" w:eastAsia="仿宋_GB2312"/>
          <w:b w:val="0"/>
          <w:color w:val="000000"/>
          <w:sz w:val="32"/>
        </w:rPr>
        <w:t>四是品牌被冒用现象普遍，维权成本高，低质假冒产品可能损害"安惠"品牌声誉乃至引发连带的质量投诉与法律纠纷。</w:t>
      </w:r>
    </w:p>
    <w:p>
      <w:pPr>
        <w:spacing w:lineRule="exact" w:line="600" w:before="0" w:after="0"/>
        <w:ind w:firstLine="420"/>
        <w:jc w:val="both"/>
      </w:pPr>
      <w:r>
        <w:rPr>
          <w:rFonts w:ascii="仿宋_GB2312" w:hAnsi="仿宋_GB2312" w:eastAsia="仿宋_GB2312"/>
          <w:b w:val="0"/>
          <w:color w:val="000000"/>
          <w:sz w:val="32"/>
        </w:rPr>
        <w:t>五是财务与信息披露不透明，官网数据陈旧且未经审计，参保人数与宣称用工规模严重不符，客观上增加了金融机构的信息不对称成本。</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（一）下游需求周期风险</w:t>
      </w:r>
    </w:p>
    <w:p>
      <w:pPr>
        <w:spacing w:lineRule="exact" w:line="600" w:before="0" w:after="0"/>
        <w:ind w:firstLine="420"/>
        <w:jc w:val="both"/>
      </w:pPr>
      <w:r>
        <w:rPr>
          <w:rFonts w:ascii="仿宋_GB2312" w:hAnsi="仿宋_GB2312" w:eastAsia="仿宋_GB2312"/>
          <w:b w:val="0"/>
          <w:color w:val="000000"/>
          <w:sz w:val="32"/>
        </w:rPr>
        <w:t>公司主导产品服务于建筑施工现场安全防护，需求与房屋新开工面积、基础设施投资强度直接挂钩。当前国内房地产行业处于深度调整期，新开工面积持续下滑，虽然基建投资与城市更新形成部分对冲，但行业总需求增长乏力已成定局。公司若不能在消防应急、电力运维、风电检修、海洋工程等新场景实现有效拓展，中长期成长空间将受限。</w:t>
      </w:r>
    </w:p>
    <w:p>
      <w:pPr>
        <w:spacing w:lineRule="exact" w:line="600" w:before="120" w:after="120"/>
        <w:ind w:firstLine="420"/>
        <w:jc w:val="left"/>
      </w:pPr>
      <w:r>
        <w:rPr>
          <w:rFonts w:ascii="楷体_GB2312" w:hAnsi="楷体_GB2312" w:eastAsia="楷体_GB2312"/>
          <w:b w:val="0"/>
          <w:color w:val="000000"/>
          <w:sz w:val="32"/>
        </w:rPr>
        <w:t>（二）应收账款与回款风险</w:t>
      </w:r>
    </w:p>
    <w:p>
      <w:pPr>
        <w:spacing w:lineRule="exact" w:line="600" w:before="0" w:after="0"/>
        <w:ind w:firstLine="420"/>
        <w:jc w:val="both"/>
      </w:pPr>
      <w:r>
        <w:rPr>
          <w:rFonts w:ascii="仿宋_GB2312" w:hAnsi="仿宋_GB2312" w:eastAsia="仿宋_GB2312"/>
          <w:b w:val="0"/>
          <w:color w:val="000000"/>
          <w:sz w:val="32"/>
        </w:rPr>
        <w:t>工程建设领域的付款链条长、结算审批环节多，普遍存在进度款滞后、质保金长期扣留（通常为合同金额的3%至5%，扣留期1至2年）、以商业承兑汇票或供应链票据代替现金支付等情形。公司开庭公告10条、涉诉关系18条，不排除存在货款追讨类诉讼。建议在保理业务中严格审查付款方资信、确权文件效力与票据的可流转性。</w:t>
      </w:r>
    </w:p>
    <w:p>
      <w:pPr>
        <w:spacing w:lineRule="exact" w:line="600" w:before="120" w:after="120"/>
        <w:ind w:firstLine="420"/>
        <w:jc w:val="left"/>
      </w:pPr>
      <w:r>
        <w:rPr>
          <w:rFonts w:ascii="楷体_GB2312" w:hAnsi="楷体_GB2312" w:eastAsia="楷体_GB2312"/>
          <w:b w:val="0"/>
          <w:color w:val="000000"/>
          <w:sz w:val="32"/>
        </w:rPr>
        <w:t>（三）产品质量与安全责任风险</w:t>
      </w:r>
    </w:p>
    <w:p>
      <w:pPr>
        <w:spacing w:lineRule="exact" w:line="600" w:before="0" w:after="0"/>
        <w:ind w:firstLine="420"/>
        <w:jc w:val="both"/>
      </w:pPr>
      <w:r>
        <w:rPr>
          <w:rFonts w:ascii="仿宋_GB2312" w:hAnsi="仿宋_GB2312" w:eastAsia="仿宋_GB2312"/>
          <w:b w:val="0"/>
          <w:color w:val="000000"/>
          <w:sz w:val="32"/>
        </w:rPr>
        <w:t>安全网、安全带、安全绳、逃生绳等产品直接关系高空作业与应急逃生人员的生命安全，一旦发生质量事故，企业将面临巨额民事赔偿、行政处罚乃至刑事责任，并将被移出央企国企合格供应商名录，造成毁灭性打击。公司虽保持96批次抽检合格率100%的记录，但在灵活用工、外协加工比例较高的生产组织下，质量一致性控制仍是持续性挑战。</w:t>
      </w:r>
    </w:p>
    <w:p>
      <w:pPr>
        <w:spacing w:lineRule="exact" w:line="600" w:before="120" w:after="120"/>
        <w:ind w:firstLine="420"/>
        <w:jc w:val="left"/>
      </w:pPr>
      <w:r>
        <w:rPr>
          <w:rFonts w:ascii="楷体_GB2312" w:hAnsi="楷体_GB2312" w:eastAsia="楷体_GB2312"/>
          <w:b w:val="0"/>
          <w:color w:val="000000"/>
          <w:sz w:val="32"/>
        </w:rPr>
        <w:t>（四）品牌冒用与商誉风险</w:t>
      </w:r>
    </w:p>
    <w:p>
      <w:pPr>
        <w:spacing w:lineRule="exact" w:line="600" w:before="0" w:after="0"/>
        <w:ind w:firstLine="420"/>
        <w:jc w:val="both"/>
      </w:pPr>
      <w:r>
        <w:rPr>
          <w:rFonts w:ascii="仿宋_GB2312" w:hAnsi="仿宋_GB2312" w:eastAsia="仿宋_GB2312"/>
          <w:b w:val="0"/>
          <w:color w:val="000000"/>
          <w:sz w:val="32"/>
        </w:rPr>
        <w:t>公司已公开声明发现大量假冒其名义进行市场、网络、投标活动的行为。此类风险可能造成三重损害：假冒产品质量事故牵连公司商誉；不法主体以公司名义投标或签约引发合同纠纷；第三方以虚假贸易背景骗取金融机构融资，进而牵扯公司。金融机构在开展相关业务时必须建立独立核验机制。</w:t>
      </w:r>
    </w:p>
    <w:p>
      <w:pPr>
        <w:spacing w:lineRule="exact" w:line="600" w:before="120" w:after="120"/>
        <w:ind w:firstLine="420"/>
        <w:jc w:val="left"/>
      </w:pPr>
      <w:r>
        <w:rPr>
          <w:rFonts w:ascii="楷体_GB2312" w:hAnsi="楷体_GB2312" w:eastAsia="楷体_GB2312"/>
          <w:b w:val="0"/>
          <w:color w:val="000000"/>
          <w:sz w:val="32"/>
        </w:rPr>
        <w:t>（五）原材料价格与供应风险</w:t>
      </w:r>
    </w:p>
    <w:p>
      <w:pPr>
        <w:spacing w:lineRule="exact" w:line="600" w:before="0" w:after="0"/>
        <w:ind w:firstLine="420"/>
        <w:jc w:val="both"/>
      </w:pPr>
      <w:r>
        <w:rPr>
          <w:rFonts w:ascii="仿宋_GB2312" w:hAnsi="仿宋_GB2312" w:eastAsia="仿宋_GB2312"/>
          <w:b w:val="0"/>
          <w:color w:val="000000"/>
          <w:sz w:val="32"/>
        </w:rPr>
        <w:t>公司主要原材料为聚乙烯、聚丙烯、涤纶工业丝及阻燃剂、色母料，价格与国际原油走势联动。由于国企客户招标价格通常在合同期内锁定，原材料价格上行时成本传导能力弱，毛利率易被压缩。公司虽自产部分高强丝、中强丝与色母料，可部分对冲，但上游切片仍需外购。</w:t>
      </w:r>
    </w:p>
    <w:p>
      <w:pPr>
        <w:spacing w:lineRule="exact" w:line="600" w:before="120" w:after="120"/>
        <w:ind w:firstLine="420"/>
        <w:jc w:val="left"/>
      </w:pPr>
      <w:r>
        <w:rPr>
          <w:rFonts w:ascii="楷体_GB2312" w:hAnsi="楷体_GB2312" w:eastAsia="楷体_GB2312"/>
          <w:b w:val="0"/>
          <w:color w:val="000000"/>
          <w:sz w:val="32"/>
        </w:rPr>
        <w:t>（六）合规与用工风险</w:t>
      </w:r>
    </w:p>
    <w:p>
      <w:pPr>
        <w:spacing w:lineRule="exact" w:line="600" w:before="0" w:after="0"/>
        <w:ind w:firstLine="420"/>
        <w:jc w:val="both"/>
      </w:pPr>
      <w:r>
        <w:rPr>
          <w:rFonts w:ascii="仿宋_GB2312" w:hAnsi="仿宋_GB2312" w:eastAsia="仿宋_GB2312"/>
          <w:b w:val="0"/>
          <w:color w:val="000000"/>
          <w:sz w:val="32"/>
        </w:rPr>
        <w:t>参保人数14人与宣称职工1800余人的巨大落差，构成显著的社保合规敞口。外协工坊人员发生工伤时的责任认定、未签订劳动合同的双倍工资风险、加班工资与工时制度合规问题，均可能形成或有负债。此外，化纤织造涉及粉尘、噪声与易燃聚烯烃原料的储存，消防与安全生产监管压力持续存在。</w:t>
      </w:r>
    </w:p>
    <w:p>
      <w:pPr>
        <w:spacing w:lineRule="exact" w:line="600" w:before="120" w:after="120"/>
        <w:ind w:firstLine="420"/>
        <w:jc w:val="left"/>
      </w:pPr>
      <w:r>
        <w:rPr>
          <w:rFonts w:ascii="楷体_GB2312" w:hAnsi="楷体_GB2312" w:eastAsia="楷体_GB2312"/>
          <w:b w:val="0"/>
          <w:color w:val="000000"/>
          <w:sz w:val="32"/>
        </w:rPr>
        <w:t>（七）经营信息陈旧与真实性风险</w:t>
      </w:r>
    </w:p>
    <w:p>
      <w:pPr>
        <w:spacing w:lineRule="exact" w:line="600" w:before="0" w:after="0"/>
        <w:ind w:firstLine="420"/>
        <w:jc w:val="both"/>
      </w:pPr>
      <w:r>
        <w:rPr>
          <w:rFonts w:ascii="仿宋_GB2312" w:hAnsi="仿宋_GB2312" w:eastAsia="仿宋_GB2312"/>
          <w:b w:val="0"/>
          <w:color w:val="000000"/>
          <w:sz w:val="32"/>
        </w:rPr>
        <w:t>公司官网所载"始建于一九七○年""现有职工1800余人""年产值2亿元""实现利税1800万元""2003年12月被农业部授予中型企业"等表述，发布时间明显较早（其中农业部作为授予主体已于2018年机构改革后更名为农业农村部），与当期经营实际可能存在较大偏差。各平台记载的注册资金（2000万元与587万元）、车间面积（16000平方米与35000平方米）亦不一致。尽职调查中不应直接采信宣传口径，须以实地核查与一手凭证为准。</w:t>
      </w:r>
    </w:p>
    <w:p>
      <w:pPr>
        <w:spacing w:lineRule="exact" w:line="600" w:before="120" w:after="120"/>
        <w:ind w:firstLine="420"/>
        <w:jc w:val="left"/>
      </w:pPr>
      <w:r>
        <w:rPr>
          <w:rFonts w:ascii="楷体_GB2312" w:hAnsi="楷体_GB2312" w:eastAsia="楷体_GB2312"/>
          <w:b w:val="0"/>
          <w:color w:val="000000"/>
          <w:sz w:val="32"/>
        </w:rPr>
        <w:t>（八）集团名称与实质不符风险</w:t>
      </w:r>
    </w:p>
    <w:p>
      <w:pPr>
        <w:spacing w:lineRule="exact" w:line="600" w:before="0" w:after="0"/>
        <w:ind w:firstLine="420"/>
        <w:jc w:val="both"/>
      </w:pPr>
      <w:r>
        <w:rPr>
          <w:rFonts w:ascii="仿宋_GB2312" w:hAnsi="仿宋_GB2312" w:eastAsia="仿宋_GB2312"/>
          <w:b w:val="0"/>
          <w:color w:val="000000"/>
          <w:sz w:val="32"/>
        </w:rPr>
        <w:t>公司名称含"集团"字样，但对外投资仅1家企业，未形成实质性集团架构。在业务合作中应准确界定授信主体，避免因名称误导而高估企业整体实力；同时须穿透核查实际控制人控制的其他关联企业，防范体外循环与关联担保风险。</w:t>
      </w:r>
    </w:p>
    <w:p>
      <w:pPr>
        <w:spacing w:lineRule="exact" w:line="600" w:before="120" w:after="120"/>
        <w:ind w:firstLine="420"/>
        <w:jc w:val="left"/>
      </w:pPr>
      <w:r>
        <w:rPr>
          <w:rFonts w:ascii="黑体" w:hAnsi="黑体" w:eastAsia="黑体"/>
          <w:b w:val="0"/>
          <w:color w:val="000000"/>
          <w:sz w:val="32"/>
        </w:rPr>
        <w:t>七、融资需求分析与山东投资业务协同建议</w:t>
      </w:r>
    </w:p>
    <w:p>
      <w:pPr>
        <w:spacing w:lineRule="exact" w:line="600" w:before="120" w:after="120"/>
        <w:ind w:firstLine="420"/>
        <w:jc w:val="left"/>
      </w:pPr>
      <w:r>
        <w:rPr>
          <w:rFonts w:ascii="楷体_GB2312" w:hAnsi="楷体_GB2312" w:eastAsia="楷体_GB2312"/>
          <w:b w:val="0"/>
          <w:color w:val="000000"/>
          <w:sz w:val="32"/>
        </w:rPr>
        <w:t>（一）企业融资需求的总体判断</w:t>
      </w:r>
    </w:p>
    <w:p>
      <w:pPr>
        <w:spacing w:lineRule="exact" w:line="600" w:before="0" w:after="0"/>
        <w:ind w:firstLine="420"/>
        <w:jc w:val="both"/>
      </w:pPr>
      <w:r>
        <w:rPr>
          <w:rFonts w:ascii="仿宋_GB2312" w:hAnsi="仿宋_GB2312" w:eastAsia="仿宋_GB2312"/>
          <w:b w:val="0"/>
          <w:color w:val="000000"/>
          <w:sz w:val="32"/>
        </w:rPr>
        <w:t>综合判断，公司融资需求呈现"应收账款融资为主导、设备更新与研发投入为补充"的结构性特征。作为央企国企工程项目的安全防护用品供应商，公司业务模式决定了其资金主要沉淀在应收账款、质保金和备货存货三个环节：招标中标后需先行垫资生产与交付，结算周期受工程进度款审批节奏制约，质保金还需在项目竣工后1至2年方能收回。133次招投标参与记录背后，是与之匹配的巨大营运资金占用。与此同时，公司在获批省级博士后创新实践基地、省级工业设计中心以及取得全省首张逃生绳认证后，正处于向消防应急、高性能防护品类拓展的关键期，相应的检测设备购置、产线改造与研发投入亦需资金支持。考虑到公司资质壁垒高、客户信用等级优、注册资本全额实缴、拥有自有厂房与大量设备，具备承接综合金融服务的良好基础；但财务信息不透明、宣传数据陈旧、参保人数与实际用工严重不符等因素，要求业务方案必须以真实交易背景核验为核心。</w:t>
      </w:r>
    </w:p>
    <w:p>
      <w:pPr>
        <w:spacing w:lineRule="exact" w:line="600" w:before="120" w:after="120"/>
        <w:ind w:firstLine="420"/>
        <w:jc w:val="left"/>
      </w:pPr>
      <w:r>
        <w:rPr>
          <w:rFonts w:ascii="楷体_GB2312" w:hAnsi="楷体_GB2312" w:eastAsia="楷体_GB2312"/>
          <w:b w:val="0"/>
          <w:color w:val="000000"/>
          <w:sz w:val="32"/>
        </w:rPr>
        <w:t>（二）商业保理业务切入建议</w:t>
      </w:r>
    </w:p>
    <w:p>
      <w:pPr>
        <w:spacing w:lineRule="exact" w:line="600" w:before="0" w:after="0"/>
        <w:ind w:firstLine="420"/>
        <w:jc w:val="both"/>
      </w:pPr>
      <w:r>
        <w:rPr>
          <w:rFonts w:ascii="仿宋_GB2312" w:hAnsi="仿宋_GB2312" w:eastAsia="仿宋_GB2312"/>
          <w:b w:val="0"/>
          <w:color w:val="000000"/>
          <w:sz w:val="32"/>
        </w:rPr>
        <w:t>商业保理是与公司业务模式匹配度最高的产品，没有之一。公司的应收账款付款人主要为中国建筑集团、中铁建设集团、山东高速等央企与省属国企，这类主体信用等级高、履约意愿强、普遍已建立供应链金融平台并支持应收账款确权，是保理业务最优质的付款人类型。建议以"核心企业确权+电子债权凭证"为主要模式，优先受理已在核心企业平台上签发电子付款承诺函的应收账款；对未上平台的传统对账单模式，则须完成书面确权并办理应收账款质押登记。</w:t>
      </w:r>
    </w:p>
    <w:p>
      <w:pPr>
        <w:spacing w:lineRule="exact" w:line="600" w:before="0" w:after="0"/>
        <w:ind w:firstLine="420"/>
        <w:jc w:val="both"/>
      </w:pPr>
      <w:r>
        <w:rPr>
          <w:rFonts w:ascii="仿宋_GB2312" w:hAnsi="仿宋_GB2312" w:eastAsia="仿宋_GB2312"/>
          <w:b w:val="0"/>
          <w:color w:val="000000"/>
          <w:sz w:val="32"/>
        </w:rPr>
        <w:t>操作要点上，建议优先选择应收账款确权清晰、付款方资信良好的核心客户订单开展有追索权保理。对于中国建筑集团、中铁建设集团、山东高速等央企与省属国企项下的应收账款，可依托其在供应链金融平台上签发的电子债权凭证或经确权的对账单办理，首期额度以企业上年度对该客户结算额的三至五成为宜，账期匹配真实回款周期并预留缓冲。同步要求企业提供近三年销售台账、增值税发票、出库单、进场验收单与对账单，建立"合同—发票—物流—回款"四流合一的验证机制。工程建设领域应特别注意核查是否存在质保金扣留、进度款审批滞后、以商业承兑汇票或供应链票据替代现金支付等影响回款确定性的安排。</w:t>
      </w:r>
    </w:p>
    <w:p>
      <w:pPr>
        <w:spacing w:lineRule="exact" w:line="600" w:before="120" w:after="120"/>
        <w:ind w:firstLine="420"/>
        <w:jc w:val="left"/>
      </w:pPr>
      <w:r>
        <w:rPr>
          <w:rFonts w:ascii="楷体_GB2312" w:hAnsi="楷体_GB2312" w:eastAsia="楷体_GB2312"/>
          <w:b w:val="0"/>
          <w:color w:val="000000"/>
          <w:sz w:val="32"/>
        </w:rPr>
        <w:t>（三）供应链金融业务切入建议</w:t>
      </w:r>
    </w:p>
    <w:p>
      <w:pPr>
        <w:spacing w:lineRule="exact" w:line="600" w:before="0" w:after="0"/>
        <w:ind w:firstLine="420"/>
        <w:jc w:val="both"/>
      </w:pPr>
      <w:r>
        <w:rPr>
          <w:rFonts w:ascii="仿宋_GB2312" w:hAnsi="仿宋_GB2312" w:eastAsia="仿宋_GB2312"/>
          <w:b w:val="0"/>
          <w:color w:val="000000"/>
          <w:sz w:val="32"/>
        </w:rPr>
        <w:t>供应链金融方面，公司同时具备"央企下游供应商"与"区域链主"双重身份。作为央企供应商，可反向接入中国建筑、中铁等核心企业的供应链金融平台，以确权债权为基础获得低成本融资；作为区域链主，公司向下游18个城市直销办事处和众多区域经销商供货，向上游采购聚烯烃原料并组织外协加工，具备构建自身产业链金融生态的条件。</w:t>
      </w:r>
    </w:p>
    <w:p>
      <w:pPr>
        <w:spacing w:lineRule="exact" w:line="600" w:before="0" w:after="0"/>
        <w:ind w:firstLine="420"/>
        <w:jc w:val="both"/>
      </w:pPr>
      <w:r>
        <w:rPr>
          <w:rFonts w:ascii="仿宋_GB2312" w:hAnsi="仿宋_GB2312" w:eastAsia="仿宋_GB2312"/>
          <w:b w:val="0"/>
          <w:color w:val="000000"/>
          <w:sz w:val="32"/>
        </w:rPr>
        <w:t>建议采取"1+N"模式：向上围绕聚乙烯、聚丙烯、涤纶工业丝及阻燃剂、色母料等原材料采购环节提供订单融资与预付款融资；向下依托企业在18个重点城市设立的直销办事处网络，为区域经销商提供先款后货项下的采购融资，既解决渠道商资金压力，也加快企业回款速度。鉴于企业已进入多家央企合格供应商名录，还可反向对接核心企业的供应链金融平台，以确权应收账款为基础开展多级流转融资。</w:t>
      </w:r>
    </w:p>
    <w:p>
      <w:pPr>
        <w:spacing w:lineRule="exact" w:line="600" w:before="120" w:after="120"/>
        <w:ind w:firstLine="420"/>
        <w:jc w:val="left"/>
      </w:pPr>
      <w:r>
        <w:rPr>
          <w:rFonts w:ascii="楷体_GB2312" w:hAnsi="楷体_GB2312" w:eastAsia="楷体_GB2312"/>
          <w:b w:val="0"/>
          <w:color w:val="000000"/>
          <w:sz w:val="32"/>
        </w:rPr>
        <w:t>（四）融资租赁业务切入建议</w:t>
      </w:r>
    </w:p>
    <w:p>
      <w:pPr>
        <w:spacing w:lineRule="exact" w:line="600" w:before="0" w:after="0"/>
        <w:ind w:firstLine="420"/>
        <w:jc w:val="both"/>
      </w:pPr>
      <w:r>
        <w:rPr>
          <w:rFonts w:ascii="仿宋_GB2312" w:hAnsi="仿宋_GB2312" w:eastAsia="仿宋_GB2312"/>
          <w:b w:val="0"/>
          <w:color w:val="000000"/>
          <w:sz w:val="32"/>
        </w:rPr>
        <w:t>融资租赁可服务于公司的设备更新与检测能力升级需求。公司现有密目织网机78台套、全自动大型织网机10台、捻线机20台、织带机26台套、合绳机36台，设备总量较大但部分服役年限较长，在自动化程度、单机效率、产品一致性方面存在升级空间。同时，随着逃生绳等新品类认证的取得，公司需要配置更高精度的拉力试验、耐高温试验、动态冲击试验等检测设备。通过融资租赁可在不占用银行授信的前提下完成设备升级。</w:t>
      </w:r>
    </w:p>
    <w:p>
      <w:pPr>
        <w:spacing w:lineRule="exact" w:line="600" w:before="0" w:after="0"/>
        <w:ind w:firstLine="420"/>
        <w:jc w:val="both"/>
      </w:pPr>
      <w:r>
        <w:rPr>
          <w:rFonts w:ascii="仿宋_GB2312" w:hAnsi="仿宋_GB2312" w:eastAsia="仿宋_GB2312"/>
          <w:b w:val="0"/>
          <w:color w:val="000000"/>
          <w:sz w:val="32"/>
        </w:rPr>
        <w:t>融资租赁应重点关注租赁物的通用性与处置价值。对密目织网机、全自动大型织网机、捻线机、织带机、合绳机等标准化程度较高、二手交易活跃的设备，可采用直租或售后回租方式，租期建议三至五年，首付比例与保证金依企业资信分档设定；对检测实验室的拉力试验机、老化试验箱、阻燃测试装置等专用检测设备，因单价较高、技术更新快，宜适当提高首付比例或引入厂商回购承诺。售后回租亦可用于盘活企业6800万元固定资产中的设备部分，在不新增产能的前提下补充流动资金。</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业务的目标客户应包括公司周边的外协工坊、配套原料供应商以及区域经销商。姜楼镇作为特种劳动防护用品生产集聚区，2025年即有11家企业组团参加第108届中国国际劳动保护用品交易会，区域内中小主体数量众多、融资需求分散而真实。可依托安惠绳网的外协名录与结算数据开展批量获客。</w:t>
      </w:r>
    </w:p>
    <w:p>
      <w:pPr>
        <w:spacing w:lineRule="exact" w:line="600" w:before="0" w:after="0"/>
        <w:ind w:firstLine="420"/>
        <w:jc w:val="both"/>
      </w:pPr>
      <w:r>
        <w:rPr>
          <w:rFonts w:ascii="仿宋_GB2312" w:hAnsi="仿宋_GB2312" w:eastAsia="仿宋_GB2312"/>
          <w:b w:val="0"/>
          <w:color w:val="000000"/>
          <w:sz w:val="32"/>
        </w:rPr>
        <w:t>小额贷款可作为覆盖集群内中小配套业户的"毛细血管"型产品，重点解决旺季备货、临时性用工、订单赶工、参展获客等短频快资金需求。建议单户额度控制在五十万元至一千万元区间，期限以六个月至一年为主，采用"信用+保证+订单质押"的组合增信方式，并借助核心企业推荐名单、镇域产业白名单、纳税与用电数据构建准入模型，实现批量获客与风险分层定价。</w:t>
      </w:r>
    </w:p>
    <w:p>
      <w:pPr>
        <w:spacing w:lineRule="exact" w:line="600" w:before="120" w:after="120"/>
        <w:ind w:firstLine="420"/>
        <w:jc w:val="left"/>
      </w:pPr>
      <w:r>
        <w:rPr>
          <w:rFonts w:ascii="楷体_GB2312" w:hAnsi="楷体_GB2312" w:eastAsia="楷体_GB2312"/>
          <w:b w:val="0"/>
          <w:color w:val="000000"/>
          <w:sz w:val="32"/>
        </w:rPr>
        <w:t>（六）综合服务与风险控制建议</w:t>
      </w:r>
    </w:p>
    <w:p>
      <w:pPr>
        <w:spacing w:lineRule="exact" w:line="600" w:before="0" w:after="0"/>
        <w:ind w:firstLine="420"/>
        <w:jc w:val="both"/>
      </w:pPr>
      <w:r>
        <w:rPr>
          <w:rFonts w:ascii="仿宋_GB2312" w:hAnsi="仿宋_GB2312" w:eastAsia="仿宋_GB2312"/>
          <w:b w:val="0"/>
          <w:color w:val="000000"/>
          <w:sz w:val="32"/>
        </w:rPr>
        <w:t>风险控制方面，建议构建"主体信用+交易信用+品牌核验"三层防线。主体层面，要求提供经审计的年度财务报告、近三年纳税申报表、征信报告，并取得实际控制人及其配偶的连带责任保证；重点核查公司名称含"集团"背后的关联企业与对外担保情况。交易层面，实行"四流合一"核验，要求提供中标通知书、采购合同、进场验收单、增值税发票、对账单与回款流水，并对回款账户实施监管；对质保金部分应予以扣减，不纳入融资基数。品牌核验层面，鉴于公司已声明存在大量假冒其名义的经营活动，凡涉及以安惠绳网为核心企业或交易对手的融资申请，必须通过公司官方渠道独立确认贸易背景真实性，严禁仅凭书面材料与印章判断。同时建议设置动态预警指标，包括招投标中标频次变化、新增涉诉与被执行信息、用电量环比变化、主要客户结算节奏变化等。</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滨州安惠绳网集团有限责任公司是山东滨州惠民（绳网）特色产业集群中特种劳动防护用品细分赛道的代表性企业。公司沿革可追溯至1970年，1997年完成公司制登记，注册资本2000万元全额实缴，扎根惠民县姜楼镇，在安全网、安全带、安全绳等强制性认证管理产品领域积累了完整的资质体系与长期的质量记录，被评定为"绳、网、索缆制造行业排头兵企业"和国家特种劳动防护产品定点大型生产企业之一。公司最突出的价值在于已进入中国建筑、中铁建设、山东高速等央企国企的合格供应商体系并获得优秀供应商评价，客户信用等级高、合作粘性强；2025年获批省级博士后创新实践基地、入选省级工业设计中心、取得全省首张逃生绳相关认证，显示其创新能力与新赛道拓展意愿。总体评价为：细分赛道资质领先，客户资源优质，创新平台完备，属于集群内值得重点关注的客户。</w:t>
      </w:r>
    </w:p>
    <w:p>
      <w:pPr>
        <w:spacing w:lineRule="exact" w:line="600" w:before="0" w:after="0"/>
        <w:ind w:firstLine="420"/>
        <w:jc w:val="both"/>
      </w:pPr>
      <w:r>
        <w:rPr>
          <w:rFonts w:ascii="仿宋_GB2312" w:hAnsi="仿宋_GB2312" w:eastAsia="仿宋_GB2312"/>
          <w:b w:val="0"/>
          <w:color w:val="000000"/>
          <w:sz w:val="32"/>
        </w:rPr>
        <w:t>同时必须客观指出其突出问题：财务信息完全不透明，官网披露的年产值、固定资产、利税等数据陈旧且未经审计；参保人数14人与宣称职工1800余人差距悬殊，社保与用工合规存在明显敞口；开庭公告10条、涉诉关系18条，涉诉活跃度偏高；客户高度集中于建筑施工领域，与房地产周期强绑定；公司名称含"集团"但未形成实质集团架构，存在规模误判风险；品牌被大量冒用，衍生的商誉与融资欺诈风险不容忽视。</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短期看（1至2年），公司的经营稳定性主要取决于央企国企客户的订单持续性与回款质量。在建筑业整体承压的背景下，央企作为基建投资的主要承担者，其项目量相对民营开发商更为稳定，公司的客户结构反而构成一定的防御性优势。同时，2025年取得的全省首张逃生绳相关认证，有望在消防应急装备这一政策驱动型市场打开新的增量空间。</w:t>
      </w:r>
    </w:p>
    <w:p>
      <w:pPr>
        <w:spacing w:lineRule="exact" w:line="600" w:before="0" w:after="0"/>
        <w:ind w:firstLine="420"/>
        <w:jc w:val="both"/>
      </w:pPr>
      <w:r>
        <w:rPr>
          <w:rFonts w:ascii="仿宋_GB2312" w:hAnsi="仿宋_GB2312" w:eastAsia="仿宋_GB2312"/>
          <w:b w:val="0"/>
          <w:color w:val="000000"/>
          <w:sz w:val="32"/>
        </w:rPr>
        <w:t>中期看（3至5年），中国绳网产业新城建设将重塑集群竞争格局。新城48个项目、479.23亿元总投资将补齐原材料供应、机械设备制造、智慧仓储等短板环节，降低集群整体成本、提升响应效率。公司作为姜楼镇龙头企业，若能借势完成产能升级与智能化改造，有望进一步扩大在特种劳动防护用品细分市场的份额。省级博士后创新实践基地与省级工业设计中心两大平台的实质性运作，则是决定其能否实现技术跃迁的关键。</w:t>
      </w:r>
    </w:p>
    <w:p>
      <w:pPr>
        <w:spacing w:lineRule="exact" w:line="600" w:before="0" w:after="0"/>
        <w:ind w:firstLine="420"/>
        <w:jc w:val="both"/>
      </w:pPr>
      <w:r>
        <w:rPr>
          <w:rFonts w:ascii="仿宋_GB2312" w:hAnsi="仿宋_GB2312" w:eastAsia="仿宋_GB2312"/>
          <w:b w:val="0"/>
          <w:color w:val="000000"/>
          <w:sz w:val="32"/>
        </w:rPr>
        <w:t>长期看，安全防护用品行业的增长动力将从"建筑施工场景"向"全场景安全生产"扩展：电力运维、风电与光伏检修、石化装置检修、轨道交通维护、消防应急救援、高层建筑外墙作业、海洋工程作业等场景对高性能防护装备的需求将持续增长，且对产品性能与认证的要求远高于传统建筑场景。公司若能依托现有资质基础与创新平台，前瞻布局超高分子量聚乙烯绳索、智能穿戴式防护装备、坠落防护系统集成等高端方向，将获得远超传统绳网业务的成长空间。</w:t>
      </w:r>
    </w:p>
    <w:p>
      <w:pPr>
        <w:spacing w:lineRule="exact" w:line="600" w:before="120" w:after="120"/>
        <w:ind w:firstLine="420"/>
        <w:jc w:val="left"/>
      </w:pPr>
      <w:r>
        <w:rPr>
          <w:rFonts w:ascii="楷体_GB2312" w:hAnsi="楷体_GB2312" w:eastAsia="楷体_GB2312"/>
          <w:b w:val="0"/>
          <w:color w:val="000000"/>
          <w:sz w:val="32"/>
        </w:rPr>
        <w:t>（三）对企业的发展建议</w:t>
      </w:r>
    </w:p>
    <w:p>
      <w:pPr>
        <w:spacing w:lineRule="exact" w:line="600" w:before="0" w:after="0"/>
        <w:ind w:firstLine="420"/>
        <w:jc w:val="both"/>
      </w:pPr>
      <w:r>
        <w:rPr>
          <w:rFonts w:ascii="仿宋_GB2312" w:hAnsi="仿宋_GB2312" w:eastAsia="仿宋_GB2312"/>
          <w:b w:val="0"/>
          <w:color w:val="000000"/>
          <w:sz w:val="32"/>
        </w:rPr>
        <w:t>第一，尽快推进财务规范化。建议聘请专业会计师事务所开展年度审计，建立符合企业会计准则的核算体系，并将应收账款账龄分析、质保金台账、存货周转管理纳入常态化财务监控。财务透明度的提升是公司获取规模化、低成本融资的前提。</w:t>
      </w:r>
    </w:p>
    <w:p>
      <w:pPr>
        <w:spacing w:lineRule="exact" w:line="600" w:before="0" w:after="0"/>
        <w:ind w:firstLine="420"/>
        <w:jc w:val="both"/>
      </w:pPr>
      <w:r>
        <w:rPr>
          <w:rFonts w:ascii="仿宋_GB2312" w:hAnsi="仿宋_GB2312" w:eastAsia="仿宋_GB2312"/>
          <w:b w:val="0"/>
          <w:color w:val="000000"/>
          <w:sz w:val="32"/>
        </w:rPr>
        <w:t>第二，全面更新对外信息披露。官网所载企业概况存在明显的时效性问题（如"农业部授予中型企业""职工1876人""注册资产587万元"等），建议系统性更新，避免因信息陈旧影响客户与金融机构的信任。</w:t>
      </w:r>
    </w:p>
    <w:p>
      <w:pPr>
        <w:spacing w:lineRule="exact" w:line="600" w:before="0" w:after="0"/>
        <w:ind w:firstLine="420"/>
        <w:jc w:val="both"/>
      </w:pPr>
      <w:r>
        <w:rPr>
          <w:rFonts w:ascii="仿宋_GB2312" w:hAnsi="仿宋_GB2312" w:eastAsia="仿宋_GB2312"/>
          <w:b w:val="0"/>
          <w:color w:val="000000"/>
          <w:sz w:val="32"/>
        </w:rPr>
        <w:t>第三，加快用工合规整改。建议逐步扩大社保参保范围，规范外协工坊的合作协议与安全责任约定，为参与国际大客户与央企的社会责任审核扫清障碍，同时降低或有负债风险。</w:t>
      </w:r>
    </w:p>
    <w:p>
      <w:pPr>
        <w:spacing w:lineRule="exact" w:line="600" w:before="0" w:after="0"/>
        <w:ind w:firstLine="420"/>
        <w:jc w:val="both"/>
      </w:pPr>
      <w:r>
        <w:rPr>
          <w:rFonts w:ascii="仿宋_GB2312" w:hAnsi="仿宋_GB2312" w:eastAsia="仿宋_GB2312"/>
          <w:b w:val="0"/>
          <w:color w:val="000000"/>
          <w:sz w:val="32"/>
        </w:rPr>
        <w:t>第四，推进市场结构多元化。在巩固建筑施工渠道的同时，重点开拓电力、石化、轨道交通、消防应急、风电运维等新场景，并适度发展出口业务，降低对单一行业周期的依赖。</w:t>
      </w:r>
    </w:p>
    <w:p>
      <w:pPr>
        <w:spacing w:lineRule="exact" w:line="600" w:before="0" w:after="0"/>
        <w:ind w:firstLine="420"/>
        <w:jc w:val="both"/>
      </w:pPr>
      <w:r>
        <w:rPr>
          <w:rFonts w:ascii="仿宋_GB2312" w:hAnsi="仿宋_GB2312" w:eastAsia="仿宋_GB2312"/>
          <w:b w:val="0"/>
          <w:color w:val="000000"/>
          <w:sz w:val="32"/>
        </w:rPr>
        <w:t>第五，强化品牌保护。建议建立商标监测与维权机制，在主要电商平台与招投标平台开展常态化侵权巡查，并通过官网、行业协会等渠道定期发布授权经销商名录，压缩假冒空间。</w:t>
      </w:r>
    </w:p>
    <w:p>
      <w:pPr>
        <w:spacing w:lineRule="exact" w:line="600" w:before="0" w:after="0"/>
        <w:ind w:firstLine="420"/>
        <w:jc w:val="both"/>
      </w:pPr>
      <w:r>
        <w:rPr>
          <w:rFonts w:ascii="仿宋_GB2312" w:hAnsi="仿宋_GB2312" w:eastAsia="仿宋_GB2312"/>
          <w:b w:val="0"/>
          <w:color w:val="000000"/>
          <w:sz w:val="32"/>
        </w:rPr>
        <w:t>第六，用好创新平台。省级博士后创新实践基地与省级工业设计中心应实质性运作，建议明确研发方向、配置专职团队、设立独立研发预算，并通过与高校院所共建联合实验室提升平台效能，争取升级为省级企业技术中心或工程研究中心。</w:t>
      </w:r>
    </w:p>
    <w:p>
      <w:pPr>
        <w:spacing w:lineRule="exact" w:line="600" w:before="120" w:after="120"/>
        <w:ind w:firstLine="420"/>
        <w:jc w:val="left"/>
      </w:pPr>
      <w:r>
        <w:rPr>
          <w:rFonts w:ascii="楷体_GB2312" w:hAnsi="楷体_GB2312" w:eastAsia="楷体_GB2312"/>
          <w:b w:val="0"/>
          <w:color w:val="000000"/>
          <w:sz w:val="32"/>
        </w:rPr>
        <w:t>（四）对山东投资开展合作的建议</w:t>
      </w:r>
    </w:p>
    <w:p>
      <w:pPr>
        <w:spacing w:lineRule="exact" w:line="600" w:before="0" w:after="0"/>
        <w:ind w:firstLine="420"/>
        <w:jc w:val="both"/>
      </w:pPr>
      <w:r>
        <w:rPr>
          <w:rFonts w:ascii="仿宋_GB2312" w:hAnsi="仿宋_GB2312" w:eastAsia="仿宋_GB2312"/>
          <w:b w:val="0"/>
          <w:color w:val="000000"/>
          <w:sz w:val="32"/>
        </w:rPr>
        <w:t>第一，建议将公司作为惠民绳网集群中"保理业务优先切入型"客户予以重点营销。其应收账款付款人为央企国企，是保理业务最理想的资产类型。首期可选择1至2个已确权的央企项目应收账款，规模控制在500万元至2000万元区间，通过完整业务周期检验其配合度与回款质量。</w:t>
      </w:r>
    </w:p>
    <w:p>
      <w:pPr>
        <w:spacing w:lineRule="exact" w:line="600" w:before="0" w:after="0"/>
        <w:ind w:firstLine="420"/>
        <w:jc w:val="both"/>
      </w:pPr>
      <w:r>
        <w:rPr>
          <w:rFonts w:ascii="仿宋_GB2312" w:hAnsi="仿宋_GB2312" w:eastAsia="仿宋_GB2312"/>
          <w:b w:val="0"/>
          <w:color w:val="000000"/>
          <w:sz w:val="32"/>
        </w:rPr>
        <w:t>第二，建议同步设计融资租赁方案，以售后回租方式盘活其密目织网机、大型织网机等存量设备，为其新品类产线与检测能力建设提供中长期资金，形成"保理解决短期周转、租赁支持长期投入"的产品组合。</w:t>
      </w:r>
    </w:p>
    <w:p>
      <w:pPr>
        <w:spacing w:lineRule="exact" w:line="600" w:before="0" w:after="0"/>
        <w:ind w:firstLine="420"/>
        <w:jc w:val="both"/>
      </w:pPr>
      <w:r>
        <w:rPr>
          <w:rFonts w:ascii="仿宋_GB2312" w:hAnsi="仿宋_GB2312" w:eastAsia="仿宋_GB2312"/>
          <w:b w:val="0"/>
          <w:color w:val="000000"/>
          <w:sz w:val="32"/>
        </w:rPr>
        <w:t>第三，建议以公司为支点拓展姜楼镇特种劳动防护用品细分集群。姜楼镇聚集了大量同类中小企业（2025年即有11家组团参加国际劳保展），这些企业普遍面临账期长、认证投入大、参展获客成本高的问题，是小额贷款与轻型保理产品的理想目标客群。</w:t>
      </w:r>
    </w:p>
    <w:p>
      <w:pPr>
        <w:spacing w:lineRule="exact" w:line="600" w:before="0" w:after="0"/>
        <w:ind w:firstLine="420"/>
        <w:jc w:val="both"/>
      </w:pPr>
      <w:r>
        <w:rPr>
          <w:rFonts w:ascii="仿宋_GB2312" w:hAnsi="仿宋_GB2312" w:eastAsia="仿宋_GB2312"/>
          <w:b w:val="0"/>
          <w:color w:val="000000"/>
          <w:sz w:val="32"/>
        </w:rPr>
        <w:t>第四，建议建立针对该客户的专项风险核验机制。鉴于公司已公开声明存在大量假冒其名义的行为，且官网信息陈旧、参保人数与宣称规模严重不符，应将"官方渠道独立确认"列为该客户及其关联交易对手所有业务的必经环节，并在贷后管理中重点跟踪新增涉诉、被执行、客户结构变化等预警信号。</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工商登记信息：国家企业信用信息公示系统，天眼查、企查查等平台公开披露的登记备案信息，含统一社会信用代码、成立日期、注册资本、实缴资本、法定代表人、登记机关、经营范围、参保人数等字段，核准日期2022年11月9日。</w:t>
      </w:r>
    </w:p>
    <w:p>
      <w:pPr>
        <w:spacing w:lineRule="exact" w:line="600" w:before="0" w:after="0"/>
        <w:jc w:val="left"/>
      </w:pPr>
      <w:r>
        <w:rPr>
          <w:rFonts w:ascii="仿宋_GB2312" w:hAnsi="仿宋_GB2312" w:eastAsia="仿宋_GB2312"/>
          <w:b w:val="0"/>
          <w:color w:val="000000"/>
          <w:sz w:val="28"/>
        </w:rPr>
        <w:t>2．企业自主披露信息：公司官方网站（www.binzhouanhui.com）"公司简介""产品中心""设备展示""新闻中心"栏目，公司在中国安防网、品牌网等行业平台的企业主页信息，公司发布的《安惠重要声明》。</w:t>
      </w:r>
    </w:p>
    <w:p>
      <w:pPr>
        <w:spacing w:lineRule="exact" w:line="600" w:before="0" w:after="0"/>
        <w:jc w:val="left"/>
      </w:pPr>
      <w:r>
        <w:rPr>
          <w:rFonts w:ascii="仿宋_GB2312" w:hAnsi="仿宋_GB2312" w:eastAsia="仿宋_GB2312"/>
          <w:b w:val="0"/>
          <w:color w:val="000000"/>
          <w:sz w:val="28"/>
        </w:rPr>
        <w:t>3．政府公开信息：惠民县人民政府门户网站《关于对县十九届人大四次会议第1904042号关于〈加大对绳网产业扶持〉建议的答复》（2025年6月20日），山东省人力资源和社会保障厅省级博士后创新实践基地认定公示（2025年2月），山东省工业和信息化厅第八批省级工业设计中心拟认定名单公示。</w:t>
      </w:r>
    </w:p>
    <w:p>
      <w:pPr>
        <w:spacing w:lineRule="exact" w:line="600" w:before="0" w:after="0"/>
        <w:jc w:val="left"/>
      </w:pPr>
      <w:r>
        <w:rPr>
          <w:rFonts w:ascii="仿宋_GB2312" w:hAnsi="仿宋_GB2312" w:eastAsia="仿宋_GB2312"/>
          <w:b w:val="0"/>
          <w:color w:val="000000"/>
          <w:sz w:val="28"/>
        </w:rPr>
        <w:t>4．权威媒体报道：滨州日报·鲁北晚报《优化营商环境助推特色绳网产业发展》（2025年11月18日）、人民网山东频道《小绳网"牵"动百亿产业链》、齐鲁网·闪电新闻《滨州惠民：小绳网织出大集群》（2025年8月12日）等。</w:t>
      </w:r>
    </w:p>
    <w:p>
      <w:pPr>
        <w:spacing w:lineRule="exact" w:line="600" w:before="0" w:after="0"/>
        <w:jc w:val="left"/>
      </w:pPr>
      <w:r>
        <w:rPr>
          <w:rFonts w:ascii="仿宋_GB2312" w:hAnsi="仿宋_GB2312" w:eastAsia="仿宋_GB2312"/>
          <w:b w:val="0"/>
          <w:color w:val="000000"/>
          <w:sz w:val="28"/>
        </w:rPr>
        <w:t>5．行业与集群资料：工业和信息化部2024年度国家级中小企业特色产业集群公布名单，第108届中国国际劳动保护用品交易会参展信息。</w:t>
      </w:r>
    </w:p>
    <w:p>
      <w:pPr>
        <w:spacing w:lineRule="exact" w:line="600" w:before="0" w:after="0"/>
        <w:jc w:val="left"/>
      </w:pPr>
      <w:r>
        <w:rPr>
          <w:rFonts w:ascii="仿宋_GB2312" w:hAnsi="仿宋_GB2312" w:eastAsia="仿宋_GB2312"/>
          <w:b w:val="0"/>
          <w:color w:val="000000"/>
          <w:sz w:val="28"/>
        </w:rPr>
        <w:t>6．本报告统计时点截至2026年8月。公司为非上市有限责任公司，未公开披露经审计的定期财务报告，凡涉及营业收入、利润、资产负债等财务指标之处，除企业自主宣传口径（年产值2亿元、固定资产6800万元、利税1800万元）外，均如实标注"财务数据未公开披露"，不作任何估算与推断。企业自主宣传口径的数据未经审计，且部分表述发布时间较早，与当期经营情况可能存在差异，引用时已在正文中注明。各渠道对成立时间、职工人数、注册资金、车间面积等指标的表述存在口径与时点差异，本报告已并列注明，实际合作前应以企业提供的审计报告、纳税申报表等一手材料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