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山东滨州惠民（绳网）特色产业集群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山东腾龙化纤绳网有限公司企业分析报告</w:t>
      </w:r>
    </w:p>
    <w:p>
      <w:pPr>
        <w:spacing w:lineRule="exact" w:line="600" w:before="0" w:after="0"/>
        <w:jc w:val="left"/>
      </w:pPr>
      <w:r>
        <w:rPr>
          <w:rFonts w:ascii="仿宋_GB2312" w:hAnsi="仿宋_GB2312" w:eastAsia="仿宋_GB2312"/>
          <w:b w:val="0"/>
          <w:color w:val="000000"/>
          <w:sz w:val="28"/>
        </w:rPr>
        <w:t>（重要提示：批次名单所列企业名称"山东腾龙化纤绳网有限公司"，经多源检索未见完全同名的存续登记主体，与之最为吻合的为"山东滨州腾龙化纤绳网有限公司"，统一社会信用代码9137162169311515XR，注册地址山东省滨州市惠民县姜楼镇工业园区工业中路1号，登记状态存续。本报告以该主体为分析对象。本报告数据来源于国家企业信用信息公示系统及天眼查、Wind企业库工商登记信息，企业在B2B平台的公开企业主页，惠民县人民政府门户网站公开文件，人民网、滨州日报等权威媒体报道，统计时点截至2026年8月。公司为非上市小微企业，未公开披露定期财务报告，本报告中凡涉及财务数据之处均如实标注"财务数据未公开披露"，不作任何估算与推断。）</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（一）产业集群背景</w:t>
      </w:r>
    </w:p>
    <w:p>
      <w:pPr>
        <w:spacing w:lineRule="exact" w:line="600" w:before="0" w:after="0"/>
        <w:ind w:firstLine="420"/>
        <w:jc w:val="both"/>
      </w:pPr>
      <w:r>
        <w:rPr>
          <w:rFonts w:ascii="仿宋_GB2312" w:hAnsi="仿宋_GB2312" w:eastAsia="仿宋_GB2312"/>
          <w:b w:val="0"/>
          <w:color w:val="000000"/>
          <w:sz w:val="32"/>
        </w:rPr>
        <w:t>滨州市惠民县是全国最大的新型绳网生产基地，被授予"中国塑料绳网之都""中国绳网名城"称号。当地绳网产业发端于明朝初年的车马挽具制作技艺，距今已有三百余年历史，改革开放后原材料由棉线、皮革全面转向化纤，生产方式由家庭作坊转向规模化工厂。据惠民县人民政府2025年6月对县十九届人大四次会议第1904042号建议的公开答复，全县现有绳网企业4257家，其中规模以上绳网企业89家，加工业户7100余户，从业人员12万余人，产品出口德国、日本、美国等103个国家和地区，2024年绳网产业实现产值300亿元（另有302亿元口径），同比增长15.38%，市场占有率约占全国的80%。</w:t>
      </w:r>
    </w:p>
    <w:p>
      <w:pPr>
        <w:spacing w:lineRule="exact" w:line="600" w:before="0" w:after="0"/>
        <w:ind w:firstLine="420"/>
        <w:jc w:val="both"/>
      </w:pPr>
      <w:r>
        <w:rPr>
          <w:rFonts w:ascii="仿宋_GB2312" w:hAnsi="仿宋_GB2312" w:eastAsia="仿宋_GB2312"/>
          <w:b w:val="0"/>
          <w:color w:val="000000"/>
          <w:sz w:val="32"/>
        </w:rPr>
        <w:t>该集群于2024年度获批国家级中小企业特色产业集群，同时入选山东省十强"雁阵形"产业集群、山东省特色产业集群、工业和信息化部重点培育纺织服装百家品牌，并列入中国纺织行业年工业总产值超百亿产业集群地区名单。产业空间上以李庄镇、姜楼镇为双核。本报告分析对象所在的姜楼镇工业园区，是全县化纤绳网与特种劳动防护用品生产最为集中的区域之一。惠民县在李庄、姜楼等绳网重镇设立行政审批分中心，整合"一类事"实现"就近办"，并依托国家追溯平台建立"一码贯通"机制，为区域内中小企业提供了较为便利的政务服务环境。</w:t>
      </w:r>
    </w:p>
    <w:p>
      <w:pPr>
        <w:spacing w:lineRule="exact" w:line="600" w:before="0" w:after="0"/>
        <w:ind w:firstLine="420"/>
        <w:jc w:val="both"/>
      </w:pPr>
      <w:r>
        <w:rPr>
          <w:rFonts w:ascii="仿宋_GB2312" w:hAnsi="仿宋_GB2312" w:eastAsia="仿宋_GB2312"/>
          <w:b w:val="0"/>
          <w:color w:val="000000"/>
          <w:sz w:val="32"/>
        </w:rPr>
        <w:t>惠民县绳网产业在快速发展的同时，也面临产业链条短、附加值不高、品牌影响力偏弱、绿色可持续发展理念不健全等结构性挑战，制约其从"量的积累"向"质的飞跃"跨越。为此，惠民县于2024年9月成立中国绳网产业新城建设指挥部，2025年成立绳网产业新城管理服务中心，围绕原材料供应、机械设备制造、跨境电商、智慧仓储等上下游环节谋划重点项目48个，总投资479.23亿元。同时，县市场监管局培育22家质量安全达标示范企业，全县累计申请专利800余项、软著50余项，"惠民县新型绳网"入选工信部重点培育品牌。产业发展目标是打造千亿级国家特色产业集群和"世界绳网之都"。</w:t>
      </w:r>
    </w:p>
    <w:p>
      <w:pPr>
        <w:spacing w:lineRule="exact" w:line="600" w:before="0" w:after="0"/>
        <w:ind w:firstLine="420"/>
        <w:jc w:val="both"/>
      </w:pPr>
      <w:r>
        <w:rPr>
          <w:rFonts w:ascii="仿宋_GB2312" w:hAnsi="仿宋_GB2312" w:eastAsia="仿宋_GB2312"/>
          <w:b w:val="0"/>
          <w:color w:val="000000"/>
          <w:sz w:val="32"/>
        </w:rPr>
        <w:t>在集群转型的大背景下，一批中小企业选择以"细分品类创新"作为突围路径。相较于龙头企业依托规模与渠道优势的扩张模式，中小企业更倾向于跳出高度同质化的传统安全网、防尘网赛道，向汽车篷布、深海养殖网箱、体育健身器材、园艺休闲制品等新兴细分领域转型。这类转型的共性特征是：投资强度适中、可依托原有化纤加工工艺基础、产品单价与毛利率高于传统品类、但同时面临品牌从零建立、客户体系重构、新赛道竞争格局不明朗等风险。本报告分析对象正是这一转型路径的典型样本。</w:t>
      </w:r>
    </w:p>
    <w:p>
      <w:pPr>
        <w:spacing w:lineRule="exact" w:line="600" w:before="120" w:after="120"/>
        <w:ind w:firstLine="420"/>
        <w:jc w:val="left"/>
      </w:pPr>
      <w:r>
        <w:rPr>
          <w:rFonts w:ascii="楷体_GB2312" w:hAnsi="楷体_GB2312" w:eastAsia="楷体_GB2312"/>
          <w:b w:val="0"/>
          <w:color w:val="000000"/>
          <w:sz w:val="32"/>
        </w:rPr>
        <w:t>（二）企业名称核验说明</w:t>
      </w:r>
    </w:p>
    <w:p>
      <w:pPr>
        <w:spacing w:lineRule="exact" w:line="600" w:before="0" w:after="0"/>
        <w:ind w:firstLine="420"/>
        <w:jc w:val="both"/>
      </w:pPr>
      <w:r>
        <w:rPr>
          <w:rFonts w:ascii="仿宋_GB2312" w:hAnsi="仿宋_GB2312" w:eastAsia="仿宋_GB2312"/>
          <w:b w:val="0"/>
          <w:color w:val="000000"/>
          <w:sz w:val="32"/>
        </w:rPr>
        <w:t>本报告首先就分析对象的主体识别问题作出说明。批次名单所列名称为"山东腾龙化纤绳网有限公司"，经国家企业信用信息公示系统、天眼查、企查查、Wind企业库等多个渠道检索，未检索到以该名称登记的存续企业。检索结果显示，惠民县姜楼镇工业园区内存在"山东滨州腾龙化纤绳网有限公司"，统一社会信用代码9137162169311515XR，法定代表人付曙光，登记状态存续，主营业务为产业用纺织制成品制造与销售，与批次名单所指向的"惠民绳网集群代表企业"高度吻合。</w:t>
      </w:r>
    </w:p>
    <w:p>
      <w:pPr>
        <w:spacing w:lineRule="exact" w:line="600" w:before="0" w:after="0"/>
        <w:ind w:firstLine="420"/>
        <w:jc w:val="both"/>
      </w:pPr>
      <w:r>
        <w:rPr>
          <w:rFonts w:ascii="仿宋_GB2312" w:hAnsi="仿宋_GB2312" w:eastAsia="仿宋_GB2312"/>
          <w:b w:val="0"/>
          <w:color w:val="000000"/>
          <w:sz w:val="32"/>
        </w:rPr>
        <w:t>两者名称差异仅在于字号前是否含"滨州"二字，判断为批次名单在采集过程中对企业名称的简写或笔误。本报告以"山东滨州腾龙化纤绳网有限公司"作为实际分析对象，文中所称"腾龙化纤"或"公司"均指该主体。</w:t>
      </w:r>
    </w:p>
    <w:p>
      <w:pPr>
        <w:spacing w:lineRule="exact" w:line="600" w:before="0" w:after="0"/>
        <w:jc w:val="left"/>
      </w:pPr>
      <w:r>
        <w:rPr>
          <w:rFonts w:ascii="仿宋_GB2312" w:hAnsi="仿宋_GB2312" w:eastAsia="仿宋_GB2312"/>
          <w:b w:val="0"/>
          <w:color w:val="000000"/>
          <w:sz w:val="28"/>
        </w:rPr>
        <w:t>风险提示：在正式开展业务合作前，务必以国家企业信用信息公示系统的最新核准信息和营业执照原件为准，核实签约主体的准确名称、统一社会信用代码、法定代表人与经营状态，避免因名称不符导致合同主体瑕疵、发票开具错误或应收账款权属争议。</w:t>
      </w:r>
    </w:p>
    <w:p>
      <w:pPr>
        <w:spacing w:lineRule="exact" w:line="600" w:before="120" w:after="120"/>
        <w:ind w:firstLine="420"/>
        <w:jc w:val="left"/>
      </w:pPr>
      <w:r>
        <w:rPr>
          <w:rFonts w:ascii="楷体_GB2312" w:hAnsi="楷体_GB2312" w:eastAsia="楷体_GB2312"/>
          <w:b w:val="0"/>
          <w:color w:val="000000"/>
          <w:sz w:val="32"/>
        </w:rPr>
        <w:t>（三）工商登记信息</w:t>
      </w:r>
    </w:p>
    <w:tbl>
      <w:tblPr>
        <w:tblStyle w:val="TableGrid"/>
        <w:tblW w:type="auto" w:w="0"/>
        <w:jc w:val="center"/>
        <w:tblLook w:firstColumn="1" w:firstRow="1" w:lastColumn="0" w:lastRow="0" w:noHBand="0" w:noVBand="1" w:val="04A0"/>
      </w:tblPr>
      <w:tblGrid>
        <w:gridCol w:w="4422"/>
        <w:gridCol w:w="4422"/>
      </w:tblGrid>
      <w:tr>
        <w:tc>
          <w:tcPr>
            <w:tcW w:type="dxa" w:w="4422"/>
          </w:tcPr>
          <w:p>
            <w:pPr>
              <w:spacing w:lineRule="exact" w:line="600"/>
              <w:jc w:val="center"/>
            </w:pPr>
            <w:r/>
            <w:r>
              <w:rPr>
                <w:rFonts w:ascii="黑体" w:hAnsi="黑体" w:eastAsia="黑体"/>
                <w:b/>
                <w:color w:val="000000"/>
                <w:sz w:val="32"/>
              </w:rPr>
              <w:t>登记项目</w:t>
            </w:r>
          </w:p>
        </w:tc>
        <w:tc>
          <w:tcPr>
            <w:tcW w:type="dxa" w:w="4422"/>
          </w:tcPr>
          <w:p>
            <w:pPr>
              <w:spacing w:lineRule="exact" w:line="600"/>
              <w:jc w:val="center"/>
            </w:pPr>
            <w:r/>
            <w:r>
              <w:rPr>
                <w:rFonts w:ascii="黑体" w:hAnsi="黑体" w:eastAsia="黑体"/>
                <w:b/>
                <w:color w:val="000000"/>
                <w:sz w:val="32"/>
              </w:rPr>
              <w:t>登记内容</w:t>
            </w:r>
          </w:p>
        </w:tc>
      </w:tr>
      <w:tr>
        <w:tc>
          <w:tcPr>
            <w:tcW w:type="dxa" w:w="4422"/>
          </w:tcPr>
          <w:p>
            <w:pPr>
              <w:spacing w:lineRule="exact" w:line="600"/>
              <w:jc w:val="center"/>
            </w:pPr>
            <w:r/>
            <w:r>
              <w:rPr>
                <w:rFonts w:ascii="仿宋_GB2312" w:hAnsi="仿宋_GB2312" w:eastAsia="仿宋_GB2312"/>
                <w:b w:val="0"/>
                <w:color w:val="000000"/>
                <w:sz w:val="32"/>
              </w:rPr>
              <w:t>企业名称</w:t>
            </w:r>
          </w:p>
        </w:tc>
        <w:tc>
          <w:tcPr>
            <w:tcW w:type="dxa" w:w="4422"/>
          </w:tcPr>
          <w:p>
            <w:pPr>
              <w:spacing w:lineRule="exact" w:line="600"/>
              <w:jc w:val="center"/>
            </w:pPr>
            <w:r/>
            <w:r>
              <w:rPr>
                <w:rFonts w:ascii="仿宋_GB2312" w:hAnsi="仿宋_GB2312" w:eastAsia="仿宋_GB2312"/>
                <w:b w:val="0"/>
                <w:color w:val="000000"/>
                <w:sz w:val="32"/>
              </w:rPr>
              <w:t>山东滨州腾龙化纤绳网有限公司</w:t>
            </w:r>
          </w:p>
        </w:tc>
      </w:tr>
      <w:tr>
        <w:tc>
          <w:tcPr>
            <w:tcW w:type="dxa" w:w="4422"/>
          </w:tcPr>
          <w:p>
            <w:pPr>
              <w:spacing w:lineRule="exact" w:line="600"/>
              <w:jc w:val="center"/>
            </w:pPr>
            <w:r/>
            <w:r>
              <w:rPr>
                <w:rFonts w:ascii="仿宋_GB2312" w:hAnsi="仿宋_GB2312" w:eastAsia="仿宋_GB2312"/>
                <w:b w:val="0"/>
                <w:color w:val="000000"/>
                <w:sz w:val="32"/>
              </w:rPr>
              <w:t>英文名称</w:t>
            </w:r>
          </w:p>
        </w:tc>
        <w:tc>
          <w:tcPr>
            <w:tcW w:type="dxa" w:w="4422"/>
          </w:tcPr>
          <w:p>
            <w:pPr>
              <w:spacing w:lineRule="exact" w:line="600"/>
              <w:jc w:val="center"/>
            </w:pPr>
            <w:r/>
            <w:r>
              <w:rPr>
                <w:rFonts w:ascii="仿宋_GB2312" w:hAnsi="仿宋_GB2312" w:eastAsia="仿宋_GB2312"/>
                <w:b w:val="0"/>
                <w:color w:val="000000"/>
                <w:sz w:val="32"/>
              </w:rPr>
              <w:t>SHANDONG BINZHOU TENGLONG CHEMICAL FIBER ROPE NET CO., LTD.</w:t>
            </w:r>
          </w:p>
        </w:tc>
      </w:tr>
      <w:tr>
        <w:tc>
          <w:tcPr>
            <w:tcW w:type="dxa" w:w="4422"/>
          </w:tcPr>
          <w:p>
            <w:pPr>
              <w:spacing w:lineRule="exact" w:line="600"/>
              <w:jc w:val="center"/>
            </w:pPr>
            <w:r/>
            <w:r>
              <w:rPr>
                <w:rFonts w:ascii="仿宋_GB2312" w:hAnsi="仿宋_GB2312" w:eastAsia="仿宋_GB2312"/>
                <w:b w:val="0"/>
                <w:color w:val="000000"/>
                <w:sz w:val="32"/>
              </w:rPr>
              <w:t>统一社会信用代码</w:t>
            </w:r>
          </w:p>
        </w:tc>
        <w:tc>
          <w:tcPr>
            <w:tcW w:type="dxa" w:w="4422"/>
          </w:tcPr>
          <w:p>
            <w:pPr>
              <w:spacing w:lineRule="exact" w:line="600"/>
              <w:jc w:val="center"/>
            </w:pPr>
            <w:r/>
            <w:r>
              <w:rPr>
                <w:rFonts w:ascii="仿宋_GB2312" w:hAnsi="仿宋_GB2312" w:eastAsia="仿宋_GB2312"/>
                <w:b w:val="0"/>
                <w:color w:val="000000"/>
                <w:sz w:val="32"/>
              </w:rPr>
              <w:t>9137162169311515XR</w:t>
            </w:r>
          </w:p>
        </w:tc>
      </w:tr>
      <w:tr>
        <w:tc>
          <w:tcPr>
            <w:tcW w:type="dxa" w:w="4422"/>
          </w:tcPr>
          <w:p>
            <w:pPr>
              <w:spacing w:lineRule="exact" w:line="600"/>
              <w:jc w:val="center"/>
            </w:pPr>
            <w:r/>
            <w:r>
              <w:rPr>
                <w:rFonts w:ascii="仿宋_GB2312" w:hAnsi="仿宋_GB2312" w:eastAsia="仿宋_GB2312"/>
                <w:b w:val="0"/>
                <w:color w:val="000000"/>
                <w:sz w:val="32"/>
              </w:rPr>
              <w:t>注册号</w:t>
            </w:r>
          </w:p>
        </w:tc>
        <w:tc>
          <w:tcPr>
            <w:tcW w:type="dxa" w:w="4422"/>
          </w:tcPr>
          <w:p>
            <w:pPr>
              <w:spacing w:lineRule="exact" w:line="600"/>
              <w:jc w:val="center"/>
            </w:pPr>
            <w:r/>
            <w:r>
              <w:rPr>
                <w:rFonts w:ascii="仿宋_GB2312" w:hAnsi="仿宋_GB2312" w:eastAsia="仿宋_GB2312"/>
                <w:b w:val="0"/>
                <w:color w:val="000000"/>
                <w:sz w:val="32"/>
              </w:rPr>
              <w:t>371600200010359</w:t>
            </w:r>
          </w:p>
        </w:tc>
      </w:tr>
      <w:tr>
        <w:tc>
          <w:tcPr>
            <w:tcW w:type="dxa" w:w="4422"/>
          </w:tcPr>
          <w:p>
            <w:pPr>
              <w:spacing w:lineRule="exact" w:line="600"/>
              <w:jc w:val="center"/>
            </w:pPr>
            <w:r/>
            <w:r>
              <w:rPr>
                <w:rFonts w:ascii="仿宋_GB2312" w:hAnsi="仿宋_GB2312" w:eastAsia="仿宋_GB2312"/>
                <w:b w:val="0"/>
                <w:color w:val="000000"/>
                <w:sz w:val="32"/>
              </w:rPr>
              <w:t>组织机构代码</w:t>
            </w:r>
          </w:p>
        </w:tc>
        <w:tc>
          <w:tcPr>
            <w:tcW w:type="dxa" w:w="4422"/>
          </w:tcPr>
          <w:p>
            <w:pPr>
              <w:spacing w:lineRule="exact" w:line="600"/>
              <w:jc w:val="center"/>
            </w:pPr>
            <w:r/>
            <w:r>
              <w:rPr>
                <w:rFonts w:ascii="仿宋_GB2312" w:hAnsi="仿宋_GB2312" w:eastAsia="仿宋_GB2312"/>
                <w:b w:val="0"/>
                <w:color w:val="000000"/>
                <w:sz w:val="32"/>
              </w:rPr>
              <w:t>69311515-X</w:t>
            </w:r>
          </w:p>
        </w:tc>
      </w:tr>
      <w:tr>
        <w:tc>
          <w:tcPr>
            <w:tcW w:type="dxa" w:w="4422"/>
          </w:tcPr>
          <w:p>
            <w:pPr>
              <w:spacing w:lineRule="exact" w:line="600"/>
              <w:jc w:val="center"/>
            </w:pPr>
            <w:r/>
            <w:r>
              <w:rPr>
                <w:rFonts w:ascii="仿宋_GB2312" w:hAnsi="仿宋_GB2312" w:eastAsia="仿宋_GB2312"/>
                <w:b w:val="0"/>
                <w:color w:val="000000"/>
                <w:sz w:val="32"/>
              </w:rPr>
              <w:t>法定代表人</w:t>
            </w:r>
          </w:p>
        </w:tc>
        <w:tc>
          <w:tcPr>
            <w:tcW w:type="dxa" w:w="4422"/>
          </w:tcPr>
          <w:p>
            <w:pPr>
              <w:spacing w:lineRule="exact" w:line="600"/>
              <w:jc w:val="center"/>
            </w:pPr>
            <w:r/>
            <w:r>
              <w:rPr>
                <w:rFonts w:ascii="仿宋_GB2312" w:hAnsi="仿宋_GB2312" w:eastAsia="仿宋_GB2312"/>
                <w:b w:val="0"/>
                <w:color w:val="000000"/>
                <w:sz w:val="32"/>
              </w:rPr>
              <w:t>付曙光</w:t>
            </w:r>
          </w:p>
        </w:tc>
      </w:tr>
      <w:tr>
        <w:tc>
          <w:tcPr>
            <w:tcW w:type="dxa" w:w="4422"/>
          </w:tcPr>
          <w:p>
            <w:pPr>
              <w:spacing w:lineRule="exact" w:line="600"/>
              <w:jc w:val="center"/>
            </w:pPr>
            <w:r/>
            <w:r>
              <w:rPr>
                <w:rFonts w:ascii="仿宋_GB2312" w:hAnsi="仿宋_GB2312" w:eastAsia="仿宋_GB2312"/>
                <w:b w:val="0"/>
                <w:color w:val="000000"/>
                <w:sz w:val="32"/>
              </w:rPr>
              <w:t>企业类型</w:t>
            </w:r>
          </w:p>
        </w:tc>
        <w:tc>
          <w:tcPr>
            <w:tcW w:type="dxa" w:w="4422"/>
          </w:tcPr>
          <w:p>
            <w:pPr>
              <w:spacing w:lineRule="exact" w:line="600"/>
              <w:jc w:val="center"/>
            </w:pPr>
            <w:r/>
            <w:r>
              <w:rPr>
                <w:rFonts w:ascii="仿宋_GB2312" w:hAnsi="仿宋_GB2312" w:eastAsia="仿宋_GB2312"/>
                <w:b w:val="0"/>
                <w:color w:val="000000"/>
                <w:sz w:val="32"/>
              </w:rPr>
              <w:t>有限责任公司（自然人独资）</w:t>
            </w:r>
          </w:p>
        </w:tc>
      </w:tr>
      <w:tr>
        <w:tc>
          <w:tcPr>
            <w:tcW w:type="dxa" w:w="4422"/>
          </w:tcPr>
          <w:p>
            <w:pPr>
              <w:spacing w:lineRule="exact" w:line="600"/>
              <w:jc w:val="center"/>
            </w:pPr>
            <w:r/>
            <w:r>
              <w:rPr>
                <w:rFonts w:ascii="仿宋_GB2312" w:hAnsi="仿宋_GB2312" w:eastAsia="仿宋_GB2312"/>
                <w:b w:val="0"/>
                <w:color w:val="000000"/>
                <w:sz w:val="32"/>
              </w:rPr>
              <w:t>成立日期</w:t>
            </w:r>
          </w:p>
        </w:tc>
        <w:tc>
          <w:tcPr>
            <w:tcW w:type="dxa" w:w="4422"/>
          </w:tcPr>
          <w:p>
            <w:pPr>
              <w:spacing w:lineRule="exact" w:line="600"/>
              <w:jc w:val="center"/>
            </w:pPr>
            <w:r/>
            <w:r>
              <w:rPr>
                <w:rFonts w:ascii="仿宋_GB2312" w:hAnsi="仿宋_GB2312" w:eastAsia="仿宋_GB2312"/>
                <w:b w:val="0"/>
                <w:color w:val="000000"/>
                <w:sz w:val="32"/>
              </w:rPr>
              <w:t>2009年8月4日</w:t>
            </w:r>
          </w:p>
        </w:tc>
      </w:tr>
      <w:tr>
        <w:tc>
          <w:tcPr>
            <w:tcW w:type="dxa" w:w="4422"/>
          </w:tcPr>
          <w:p>
            <w:pPr>
              <w:spacing w:lineRule="exact" w:line="600"/>
              <w:jc w:val="center"/>
            </w:pPr>
            <w:r/>
            <w:r>
              <w:rPr>
                <w:rFonts w:ascii="仿宋_GB2312" w:hAnsi="仿宋_GB2312" w:eastAsia="仿宋_GB2312"/>
                <w:b w:val="0"/>
                <w:color w:val="000000"/>
                <w:sz w:val="32"/>
              </w:rPr>
              <w:t>营业期限</w:t>
            </w:r>
          </w:p>
        </w:tc>
        <w:tc>
          <w:tcPr>
            <w:tcW w:type="dxa" w:w="4422"/>
          </w:tcPr>
          <w:p>
            <w:pPr>
              <w:spacing w:lineRule="exact" w:line="600"/>
              <w:jc w:val="center"/>
            </w:pPr>
            <w:r/>
            <w:r>
              <w:rPr>
                <w:rFonts w:ascii="仿宋_GB2312" w:hAnsi="仿宋_GB2312" w:eastAsia="仿宋_GB2312"/>
                <w:b w:val="0"/>
                <w:color w:val="000000"/>
                <w:sz w:val="32"/>
              </w:rPr>
              <w:t>2009年8月4日至2039年8月3日</w:t>
            </w:r>
          </w:p>
        </w:tc>
      </w:tr>
      <w:tr>
        <w:tc>
          <w:tcPr>
            <w:tcW w:type="dxa" w:w="4422"/>
          </w:tcPr>
          <w:p>
            <w:pPr>
              <w:spacing w:lineRule="exact" w:line="600"/>
              <w:jc w:val="center"/>
            </w:pPr>
            <w:r/>
            <w:r>
              <w:rPr>
                <w:rFonts w:ascii="仿宋_GB2312" w:hAnsi="仿宋_GB2312" w:eastAsia="仿宋_GB2312"/>
                <w:b w:val="0"/>
                <w:color w:val="000000"/>
                <w:sz w:val="32"/>
              </w:rPr>
              <w:t>注册资本</w:t>
            </w:r>
          </w:p>
        </w:tc>
        <w:tc>
          <w:tcPr>
            <w:tcW w:type="dxa" w:w="4422"/>
          </w:tcPr>
          <w:p>
            <w:pPr>
              <w:spacing w:lineRule="exact" w:line="600"/>
              <w:jc w:val="center"/>
            </w:pPr>
            <w:r/>
            <w:r>
              <w:rPr>
                <w:rFonts w:ascii="仿宋_GB2312" w:hAnsi="仿宋_GB2312" w:eastAsia="仿宋_GB2312"/>
                <w:b w:val="0"/>
                <w:color w:val="000000"/>
                <w:sz w:val="32"/>
              </w:rPr>
              <w:t>600万元人民币</w:t>
            </w:r>
          </w:p>
        </w:tc>
      </w:tr>
      <w:tr>
        <w:tc>
          <w:tcPr>
            <w:tcW w:type="dxa" w:w="4422"/>
          </w:tcPr>
          <w:p>
            <w:pPr>
              <w:spacing w:lineRule="exact" w:line="600"/>
              <w:jc w:val="center"/>
            </w:pPr>
            <w:r/>
            <w:r>
              <w:rPr>
                <w:rFonts w:ascii="仿宋_GB2312" w:hAnsi="仿宋_GB2312" w:eastAsia="仿宋_GB2312"/>
                <w:b w:val="0"/>
                <w:color w:val="000000"/>
                <w:sz w:val="32"/>
              </w:rPr>
              <w:t>实缴资本</w:t>
            </w:r>
          </w:p>
        </w:tc>
        <w:tc>
          <w:tcPr>
            <w:tcW w:type="dxa" w:w="4422"/>
          </w:tcPr>
          <w:p>
            <w:pPr>
              <w:spacing w:lineRule="exact" w:line="600"/>
              <w:jc w:val="center"/>
            </w:pPr>
            <w:r/>
            <w:r>
              <w:rPr>
                <w:rFonts w:ascii="仿宋_GB2312" w:hAnsi="仿宋_GB2312" w:eastAsia="仿宋_GB2312"/>
                <w:b w:val="0"/>
                <w:color w:val="000000"/>
                <w:sz w:val="32"/>
              </w:rPr>
              <w:t>180万元（天眼查）／120万元（Wind），口径不一</w:t>
            </w:r>
          </w:p>
        </w:tc>
      </w:tr>
      <w:tr>
        <w:tc>
          <w:tcPr>
            <w:tcW w:type="dxa" w:w="4422"/>
          </w:tcPr>
          <w:p>
            <w:pPr>
              <w:spacing w:lineRule="exact" w:line="600"/>
              <w:jc w:val="center"/>
            </w:pPr>
            <w:r/>
            <w:r>
              <w:rPr>
                <w:rFonts w:ascii="仿宋_GB2312" w:hAnsi="仿宋_GB2312" w:eastAsia="仿宋_GB2312"/>
                <w:b w:val="0"/>
                <w:color w:val="000000"/>
                <w:sz w:val="32"/>
              </w:rPr>
              <w:t>登记状态</w:t>
            </w:r>
          </w:p>
        </w:tc>
        <w:tc>
          <w:tcPr>
            <w:tcW w:type="dxa" w:w="4422"/>
          </w:tcPr>
          <w:p>
            <w:pPr>
              <w:spacing w:lineRule="exact" w:line="600"/>
              <w:jc w:val="center"/>
            </w:pPr>
            <w:r/>
            <w:r>
              <w:rPr>
                <w:rFonts w:ascii="仿宋_GB2312" w:hAnsi="仿宋_GB2312" w:eastAsia="仿宋_GB2312"/>
                <w:b w:val="0"/>
                <w:color w:val="000000"/>
                <w:sz w:val="32"/>
              </w:rPr>
              <w:t>存续</w:t>
            </w:r>
          </w:p>
        </w:tc>
      </w:tr>
      <w:tr>
        <w:tc>
          <w:tcPr>
            <w:tcW w:type="dxa" w:w="4422"/>
          </w:tcPr>
          <w:p>
            <w:pPr>
              <w:spacing w:lineRule="exact" w:line="600"/>
              <w:jc w:val="center"/>
            </w:pPr>
            <w:r/>
            <w:r>
              <w:rPr>
                <w:rFonts w:ascii="仿宋_GB2312" w:hAnsi="仿宋_GB2312" w:eastAsia="仿宋_GB2312"/>
                <w:b w:val="0"/>
                <w:color w:val="000000"/>
                <w:sz w:val="32"/>
              </w:rPr>
              <w:t>核准日期</w:t>
            </w:r>
          </w:p>
        </w:tc>
        <w:tc>
          <w:tcPr>
            <w:tcW w:type="dxa" w:w="4422"/>
          </w:tcPr>
          <w:p>
            <w:pPr>
              <w:spacing w:lineRule="exact" w:line="600"/>
              <w:jc w:val="center"/>
            </w:pPr>
            <w:r/>
            <w:r>
              <w:rPr>
                <w:rFonts w:ascii="仿宋_GB2312" w:hAnsi="仿宋_GB2312" w:eastAsia="仿宋_GB2312"/>
                <w:b w:val="0"/>
                <w:color w:val="000000"/>
                <w:sz w:val="32"/>
              </w:rPr>
              <w:t>2026年4月14日</w:t>
            </w:r>
          </w:p>
        </w:tc>
      </w:tr>
      <w:tr>
        <w:tc>
          <w:tcPr>
            <w:tcW w:type="dxa" w:w="4422"/>
          </w:tcPr>
          <w:p>
            <w:pPr>
              <w:spacing w:lineRule="exact" w:line="600"/>
              <w:jc w:val="center"/>
            </w:pPr>
            <w:r/>
            <w:r>
              <w:rPr>
                <w:rFonts w:ascii="仿宋_GB2312" w:hAnsi="仿宋_GB2312" w:eastAsia="仿宋_GB2312"/>
                <w:b w:val="0"/>
                <w:color w:val="000000"/>
                <w:sz w:val="32"/>
              </w:rPr>
              <w:t>登记机关</w:t>
            </w:r>
          </w:p>
        </w:tc>
        <w:tc>
          <w:tcPr>
            <w:tcW w:type="dxa" w:w="4422"/>
          </w:tcPr>
          <w:p>
            <w:pPr>
              <w:spacing w:lineRule="exact" w:line="600"/>
              <w:jc w:val="center"/>
            </w:pPr>
            <w:r/>
            <w:r>
              <w:rPr>
                <w:rFonts w:ascii="仿宋_GB2312" w:hAnsi="仿宋_GB2312" w:eastAsia="仿宋_GB2312"/>
                <w:b w:val="0"/>
                <w:color w:val="000000"/>
                <w:sz w:val="32"/>
              </w:rPr>
              <w:t>滨州市惠民县市场监督管理局</w:t>
            </w:r>
          </w:p>
        </w:tc>
      </w:tr>
      <w:tr>
        <w:tc>
          <w:tcPr>
            <w:tcW w:type="dxa" w:w="4422"/>
          </w:tcPr>
          <w:p>
            <w:pPr>
              <w:spacing w:lineRule="exact" w:line="600"/>
              <w:jc w:val="center"/>
            </w:pPr>
            <w:r/>
            <w:r>
              <w:rPr>
                <w:rFonts w:ascii="仿宋_GB2312" w:hAnsi="仿宋_GB2312" w:eastAsia="仿宋_GB2312"/>
                <w:b w:val="0"/>
                <w:color w:val="000000"/>
                <w:sz w:val="32"/>
              </w:rPr>
              <w:t>注册地址</w:t>
            </w:r>
          </w:p>
        </w:tc>
        <w:tc>
          <w:tcPr>
            <w:tcW w:type="dxa" w:w="4422"/>
          </w:tcPr>
          <w:p>
            <w:pPr>
              <w:spacing w:lineRule="exact" w:line="600"/>
              <w:jc w:val="center"/>
            </w:pPr>
            <w:r/>
            <w:r>
              <w:rPr>
                <w:rFonts w:ascii="仿宋_GB2312" w:hAnsi="仿宋_GB2312" w:eastAsia="仿宋_GB2312"/>
                <w:b w:val="0"/>
                <w:color w:val="000000"/>
                <w:sz w:val="32"/>
              </w:rPr>
              <w:t>山东省滨州市惠民县姜楼镇工业园区工业中路1号</w:t>
            </w:r>
          </w:p>
        </w:tc>
      </w:tr>
      <w:tr>
        <w:tc>
          <w:tcPr>
            <w:tcW w:type="dxa" w:w="4422"/>
          </w:tcPr>
          <w:p>
            <w:pPr>
              <w:spacing w:lineRule="exact" w:line="600"/>
              <w:jc w:val="center"/>
            </w:pPr>
            <w:r/>
            <w:r>
              <w:rPr>
                <w:rFonts w:ascii="仿宋_GB2312" w:hAnsi="仿宋_GB2312" w:eastAsia="仿宋_GB2312"/>
                <w:b w:val="0"/>
                <w:color w:val="000000"/>
                <w:sz w:val="32"/>
              </w:rPr>
              <w:t>国民经济行业分类</w:t>
            </w:r>
          </w:p>
        </w:tc>
        <w:tc>
          <w:tcPr>
            <w:tcW w:type="dxa" w:w="4422"/>
          </w:tcPr>
          <w:p>
            <w:pPr>
              <w:spacing w:lineRule="exact" w:line="600"/>
              <w:jc w:val="center"/>
            </w:pPr>
            <w:r/>
            <w:r>
              <w:rPr>
                <w:rFonts w:ascii="仿宋_GB2312" w:hAnsi="仿宋_GB2312" w:eastAsia="仿宋_GB2312"/>
                <w:b w:val="0"/>
                <w:color w:val="000000"/>
                <w:sz w:val="32"/>
              </w:rPr>
              <w:t>纺织业＞产业用纺织制成品制造＞篷、帆布制造</w:t>
            </w:r>
          </w:p>
        </w:tc>
      </w:tr>
      <w:tr>
        <w:tc>
          <w:tcPr>
            <w:tcW w:type="dxa" w:w="4422"/>
          </w:tcPr>
          <w:p>
            <w:pPr>
              <w:spacing w:lineRule="exact" w:line="600"/>
              <w:jc w:val="center"/>
            </w:pPr>
            <w:r/>
            <w:r>
              <w:rPr>
                <w:rFonts w:ascii="仿宋_GB2312" w:hAnsi="仿宋_GB2312" w:eastAsia="仿宋_GB2312"/>
                <w:b w:val="0"/>
                <w:color w:val="000000"/>
                <w:sz w:val="32"/>
              </w:rPr>
              <w:t>纳税人资质</w:t>
            </w:r>
          </w:p>
        </w:tc>
        <w:tc>
          <w:tcPr>
            <w:tcW w:type="dxa" w:w="4422"/>
          </w:tcPr>
          <w:p>
            <w:pPr>
              <w:spacing w:lineRule="exact" w:line="600"/>
              <w:jc w:val="center"/>
            </w:pPr>
            <w:r/>
            <w:r>
              <w:rPr>
                <w:rFonts w:ascii="仿宋_GB2312" w:hAnsi="仿宋_GB2312" w:eastAsia="仿宋_GB2312"/>
                <w:b w:val="0"/>
                <w:color w:val="000000"/>
                <w:sz w:val="32"/>
              </w:rPr>
              <w:t>增值税一般纳税人</w:t>
            </w:r>
          </w:p>
        </w:tc>
      </w:tr>
      <w:tr>
        <w:tc>
          <w:tcPr>
            <w:tcW w:type="dxa" w:w="4422"/>
          </w:tcPr>
          <w:p>
            <w:pPr>
              <w:spacing w:lineRule="exact" w:line="600"/>
              <w:jc w:val="center"/>
            </w:pPr>
            <w:r/>
            <w:r>
              <w:rPr>
                <w:rFonts w:ascii="仿宋_GB2312" w:hAnsi="仿宋_GB2312" w:eastAsia="仿宋_GB2312"/>
                <w:b w:val="0"/>
                <w:color w:val="000000"/>
                <w:sz w:val="32"/>
              </w:rPr>
              <w:t>企业规模</w:t>
            </w:r>
          </w:p>
        </w:tc>
        <w:tc>
          <w:tcPr>
            <w:tcW w:type="dxa" w:w="4422"/>
          </w:tcPr>
          <w:p>
            <w:pPr>
              <w:spacing w:lineRule="exact" w:line="600"/>
              <w:jc w:val="center"/>
            </w:pPr>
            <w:r/>
            <w:r>
              <w:rPr>
                <w:rFonts w:ascii="仿宋_GB2312" w:hAnsi="仿宋_GB2312" w:eastAsia="仿宋_GB2312"/>
                <w:b w:val="0"/>
                <w:color w:val="000000"/>
                <w:sz w:val="32"/>
              </w:rPr>
              <w:t>小微企业</w:t>
            </w:r>
          </w:p>
        </w:tc>
      </w:tr>
      <w:tr>
        <w:tc>
          <w:tcPr>
            <w:tcW w:type="dxa" w:w="4422"/>
          </w:tcPr>
          <w:p>
            <w:pPr>
              <w:spacing w:lineRule="exact" w:line="600"/>
              <w:jc w:val="center"/>
            </w:pPr>
            <w:r/>
            <w:r>
              <w:rPr>
                <w:rFonts w:ascii="仿宋_GB2312" w:hAnsi="仿宋_GB2312" w:eastAsia="仿宋_GB2312"/>
                <w:b w:val="0"/>
                <w:color w:val="000000"/>
                <w:sz w:val="32"/>
              </w:rPr>
              <w:t>控制类型</w:t>
            </w:r>
          </w:p>
        </w:tc>
        <w:tc>
          <w:tcPr>
            <w:tcW w:type="dxa" w:w="4422"/>
          </w:tcPr>
          <w:p>
            <w:pPr>
              <w:spacing w:lineRule="exact" w:line="600"/>
              <w:jc w:val="center"/>
            </w:pPr>
            <w:r/>
            <w:r>
              <w:rPr>
                <w:rFonts w:ascii="仿宋_GB2312" w:hAnsi="仿宋_GB2312" w:eastAsia="仿宋_GB2312"/>
                <w:b w:val="0"/>
                <w:color w:val="000000"/>
                <w:sz w:val="32"/>
              </w:rPr>
              <w:t>民营企业、私人绝对控股</w:t>
            </w:r>
          </w:p>
        </w:tc>
      </w:tr>
    </w:tbl>
    <w:p>
      <w:pPr>
        <w:spacing w:lineRule="exact" w:line="600" w:before="0" w:after="0"/>
        <w:ind w:firstLine="420"/>
        <w:jc w:val="both"/>
      </w:pPr>
      <w:r>
        <w:rPr>
          <w:rFonts w:ascii="仿宋_GB2312" w:hAnsi="仿宋_GB2312" w:eastAsia="仿宋_GB2312"/>
          <w:b w:val="0"/>
          <w:color w:val="000000"/>
          <w:sz w:val="32"/>
        </w:rPr>
        <w:t>公司现行经营范围为：一般项目包括货物进出口、产业用纺织制成品销售、产业用纺织制成品制造（除依法须经批准的项目外，凭营业执照依法自主开展经营活动）。值得注意的是，公司的国民经济行业分类已由传统的绳网织造调整为"篷、帆布制造"，这一分类变更与其2024年启动的汽车篷布转型高度一致，从侧面印证了转型的真实性与彻底性。同时，经营范围中保留"货物进出口"，为其未来拓展外贸业务预留了空间。</w:t>
      </w:r>
    </w:p>
    <w:p>
      <w:pPr>
        <w:spacing w:lineRule="exact" w:line="600" w:before="0" w:after="0"/>
        <w:ind w:firstLine="420"/>
        <w:jc w:val="both"/>
      </w:pPr>
      <w:r>
        <w:rPr>
          <w:rFonts w:ascii="仿宋_GB2312" w:hAnsi="仿宋_GB2312" w:eastAsia="仿宋_GB2312"/>
          <w:b w:val="0"/>
          <w:color w:val="000000"/>
          <w:sz w:val="32"/>
        </w:rPr>
        <w:t>需要提示的是，公司实缴资本存在两种记载：天眼查显示为180万元，Wind企业库显示为120万元。实缴比例分别为注册资本的30%和20%，均处于较低水平。在认缴制下，实缴不足意味着股东在公司资不抵债时仍需在未出资本息范围内承担补充赔偿责任，但同时也说明企业的自有资本投入有限，经营主要依赖经营积累与外部负债。建议在授信审查中核实最新实缴情况及认缴出资期限，并关注注册资本认缴期限届满前的出资安排。</w:t>
      </w:r>
    </w:p>
    <w:p>
      <w:pPr>
        <w:spacing w:lineRule="exact" w:line="600" w:before="120" w:after="120"/>
        <w:ind w:firstLine="420"/>
        <w:jc w:val="left"/>
      </w:pPr>
      <w:r>
        <w:rPr>
          <w:rFonts w:ascii="楷体_GB2312" w:hAnsi="楷体_GB2312" w:eastAsia="楷体_GB2312"/>
          <w:b w:val="0"/>
          <w:color w:val="000000"/>
          <w:sz w:val="32"/>
        </w:rPr>
        <w:t>（四）股权结构与实际控制人</w:t>
      </w:r>
    </w:p>
    <w:p>
      <w:pPr>
        <w:spacing w:lineRule="exact" w:line="600" w:before="0" w:after="0"/>
        <w:ind w:firstLine="420"/>
        <w:jc w:val="both"/>
      </w:pPr>
      <w:r>
        <w:rPr>
          <w:rFonts w:ascii="仿宋_GB2312" w:hAnsi="仿宋_GB2312" w:eastAsia="仿宋_GB2312"/>
          <w:b w:val="0"/>
          <w:color w:val="000000"/>
          <w:sz w:val="32"/>
        </w:rPr>
        <w:t>公司登记类型为"有限责任公司（自然人独资）"，股东为单一自然人，法定代表人为付曙光，Wind企业库将其控制类型标注为"民营企业、私人绝对控股"，发展阶段判定为"成熟期"。一人有限责任公司的治理特征十分鲜明：决策效率极高，能够在市场变化时快速作出战略转向（2024年7月决定转产汽车篷布、2025年2月即实现投产，前后仅约7个月），但同时缺乏内部制衡，且依据《公司法》相关规定，股东不能证明公司财产独立于自己财产的，应对公司债务承担连带责任。</w:t>
      </w:r>
    </w:p>
    <w:p>
      <w:pPr>
        <w:spacing w:lineRule="exact" w:line="600" w:before="0" w:after="0"/>
        <w:ind w:firstLine="420"/>
        <w:jc w:val="both"/>
      </w:pPr>
      <w:r>
        <w:rPr>
          <w:rFonts w:ascii="仿宋_GB2312" w:hAnsi="仿宋_GB2312" w:eastAsia="仿宋_GB2312"/>
          <w:b w:val="0"/>
          <w:color w:val="000000"/>
          <w:sz w:val="32"/>
        </w:rPr>
        <w:t>在授信实务中，对一人有限责任公司应当要求其提供经审计的年度财务会计报告，据此核查财务独立性；同时应要求实际控制人及其配偶提供连带责任保证。据公开信息，公司未见对外投资记录，组织结构简单，关联交易风险相对可控，但仍需穿透核查实际控制人名下其他经营主体的情况。</w:t>
      </w:r>
    </w:p>
    <w:p>
      <w:pPr>
        <w:spacing w:lineRule="exact" w:line="600" w:before="120" w:after="120"/>
        <w:ind w:firstLine="420"/>
        <w:jc w:val="left"/>
      </w:pPr>
      <w:r>
        <w:rPr>
          <w:rFonts w:ascii="楷体_GB2312" w:hAnsi="楷体_GB2312" w:eastAsia="楷体_GB2312"/>
          <w:b w:val="0"/>
          <w:color w:val="000000"/>
          <w:sz w:val="32"/>
        </w:rPr>
        <w:t>（五）经营场所与产能规模</w:t>
      </w:r>
    </w:p>
    <w:p>
      <w:pPr>
        <w:spacing w:lineRule="exact" w:line="600" w:before="0" w:after="0"/>
        <w:ind w:firstLine="420"/>
        <w:jc w:val="both"/>
      </w:pPr>
      <w:r>
        <w:rPr>
          <w:rFonts w:ascii="仿宋_GB2312" w:hAnsi="仿宋_GB2312" w:eastAsia="仿宋_GB2312"/>
          <w:b w:val="0"/>
          <w:color w:val="000000"/>
          <w:sz w:val="32"/>
        </w:rPr>
        <w:t>公司位于惠民县姜楼镇工业园区工业中路1号，据企业在B2B平台披露的信息，占地面积15300平方米，建筑面积12040平方米，从业人数120人左右。在完成汽车篷布转型后，公司建成了从生产到深加工的成品流水线，自述实现年产产能6000吨，是全市首家拥有车篷布生产到深加工完整流水线的企业。</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要素</w:t>
            </w:r>
          </w:p>
        </w:tc>
        <w:tc>
          <w:tcPr>
            <w:tcW w:type="dxa" w:w="2948"/>
          </w:tcPr>
          <w:p>
            <w:pPr>
              <w:spacing w:lineRule="exact" w:line="600"/>
              <w:jc w:val="center"/>
            </w:pPr>
            <w:r/>
            <w:r>
              <w:rPr>
                <w:rFonts w:ascii="黑体" w:hAnsi="黑体" w:eastAsia="黑体"/>
                <w:b/>
                <w:color w:val="000000"/>
                <w:sz w:val="32"/>
              </w:rPr>
              <w:t>披露情况</w:t>
            </w:r>
          </w:p>
        </w:tc>
        <w:tc>
          <w:tcPr>
            <w:tcW w:type="dxa" w:w="2948"/>
          </w:tcPr>
          <w:p>
            <w:pPr>
              <w:spacing w:lineRule="exact" w:line="600"/>
              <w:jc w:val="center"/>
            </w:pPr>
            <w:r/>
            <w:r>
              <w:rPr>
                <w:rFonts w:ascii="黑体" w:hAnsi="黑体" w:eastAsia="黑体"/>
                <w:b/>
                <w:color w:val="000000"/>
                <w:sz w:val="32"/>
              </w:rPr>
              <w:t>来源</w:t>
            </w:r>
          </w:p>
        </w:tc>
      </w:tr>
      <w:tr>
        <w:tc>
          <w:tcPr>
            <w:tcW w:type="dxa" w:w="2948"/>
          </w:tcPr>
          <w:p>
            <w:pPr>
              <w:spacing w:lineRule="exact" w:line="600"/>
              <w:jc w:val="center"/>
            </w:pPr>
            <w:r/>
            <w:r>
              <w:rPr>
                <w:rFonts w:ascii="仿宋_GB2312" w:hAnsi="仿宋_GB2312" w:eastAsia="仿宋_GB2312"/>
                <w:b w:val="0"/>
                <w:color w:val="000000"/>
                <w:sz w:val="32"/>
              </w:rPr>
              <w:t>占地面积</w:t>
            </w:r>
          </w:p>
        </w:tc>
        <w:tc>
          <w:tcPr>
            <w:tcW w:type="dxa" w:w="2948"/>
          </w:tcPr>
          <w:p>
            <w:pPr>
              <w:spacing w:lineRule="exact" w:line="600"/>
              <w:jc w:val="center"/>
            </w:pPr>
            <w:r/>
            <w:r>
              <w:rPr>
                <w:rFonts w:ascii="仿宋_GB2312" w:hAnsi="仿宋_GB2312" w:eastAsia="仿宋_GB2312"/>
                <w:b w:val="0"/>
                <w:color w:val="000000"/>
                <w:sz w:val="32"/>
              </w:rPr>
              <w:t>15300平方米</w:t>
            </w:r>
          </w:p>
        </w:tc>
        <w:tc>
          <w:tcPr>
            <w:tcW w:type="dxa" w:w="2948"/>
          </w:tcPr>
          <w:p>
            <w:pPr>
              <w:spacing w:lineRule="exact" w:line="600"/>
              <w:jc w:val="center"/>
            </w:pPr>
            <w:r/>
            <w:r>
              <w:rPr>
                <w:rFonts w:ascii="仿宋_GB2312" w:hAnsi="仿宋_GB2312" w:eastAsia="仿宋_GB2312"/>
                <w:b w:val="0"/>
                <w:color w:val="000000"/>
                <w:sz w:val="32"/>
              </w:rPr>
              <w:t>企业B2B平台自述</w:t>
            </w:r>
          </w:p>
        </w:tc>
      </w:tr>
      <w:tr>
        <w:tc>
          <w:tcPr>
            <w:tcW w:type="dxa" w:w="2948"/>
          </w:tcPr>
          <w:p>
            <w:pPr>
              <w:spacing w:lineRule="exact" w:line="600"/>
              <w:jc w:val="center"/>
            </w:pPr>
            <w:r/>
            <w:r>
              <w:rPr>
                <w:rFonts w:ascii="仿宋_GB2312" w:hAnsi="仿宋_GB2312" w:eastAsia="仿宋_GB2312"/>
                <w:b w:val="0"/>
                <w:color w:val="000000"/>
                <w:sz w:val="32"/>
              </w:rPr>
              <w:t>建筑面积</w:t>
            </w:r>
          </w:p>
        </w:tc>
        <w:tc>
          <w:tcPr>
            <w:tcW w:type="dxa" w:w="2948"/>
          </w:tcPr>
          <w:p>
            <w:pPr>
              <w:spacing w:lineRule="exact" w:line="600"/>
              <w:jc w:val="center"/>
            </w:pPr>
            <w:r/>
            <w:r>
              <w:rPr>
                <w:rFonts w:ascii="仿宋_GB2312" w:hAnsi="仿宋_GB2312" w:eastAsia="仿宋_GB2312"/>
                <w:b w:val="0"/>
                <w:color w:val="000000"/>
                <w:sz w:val="32"/>
              </w:rPr>
              <w:t>12040平方米</w:t>
            </w:r>
          </w:p>
        </w:tc>
        <w:tc>
          <w:tcPr>
            <w:tcW w:type="dxa" w:w="2948"/>
          </w:tcPr>
          <w:p>
            <w:pPr>
              <w:spacing w:lineRule="exact" w:line="600"/>
              <w:jc w:val="center"/>
            </w:pPr>
            <w:r/>
            <w:r>
              <w:rPr>
                <w:rFonts w:ascii="仿宋_GB2312" w:hAnsi="仿宋_GB2312" w:eastAsia="仿宋_GB2312"/>
                <w:b w:val="0"/>
                <w:color w:val="000000"/>
                <w:sz w:val="32"/>
              </w:rPr>
              <w:t>企业B2B平台自述</w:t>
            </w:r>
          </w:p>
        </w:tc>
      </w:tr>
      <w:tr>
        <w:tc>
          <w:tcPr>
            <w:tcW w:type="dxa" w:w="2948"/>
          </w:tcPr>
          <w:p>
            <w:pPr>
              <w:spacing w:lineRule="exact" w:line="600"/>
              <w:jc w:val="center"/>
            </w:pPr>
            <w:r/>
            <w:r>
              <w:rPr>
                <w:rFonts w:ascii="仿宋_GB2312" w:hAnsi="仿宋_GB2312" w:eastAsia="仿宋_GB2312"/>
                <w:b w:val="0"/>
                <w:color w:val="000000"/>
                <w:sz w:val="32"/>
              </w:rPr>
              <w:t>从业人数</w:t>
            </w:r>
          </w:p>
        </w:tc>
        <w:tc>
          <w:tcPr>
            <w:tcW w:type="dxa" w:w="2948"/>
          </w:tcPr>
          <w:p>
            <w:pPr>
              <w:spacing w:lineRule="exact" w:line="600"/>
              <w:jc w:val="center"/>
            </w:pPr>
            <w:r/>
            <w:r>
              <w:rPr>
                <w:rFonts w:ascii="仿宋_GB2312" w:hAnsi="仿宋_GB2312" w:eastAsia="仿宋_GB2312"/>
                <w:b w:val="0"/>
                <w:color w:val="000000"/>
                <w:sz w:val="32"/>
              </w:rPr>
              <w:t>120人左右（另有11—50人填报口径）</w:t>
            </w:r>
          </w:p>
        </w:tc>
        <w:tc>
          <w:tcPr>
            <w:tcW w:type="dxa" w:w="2948"/>
          </w:tcPr>
          <w:p>
            <w:pPr>
              <w:spacing w:lineRule="exact" w:line="600"/>
              <w:jc w:val="center"/>
            </w:pPr>
            <w:r/>
            <w:r>
              <w:rPr>
                <w:rFonts w:ascii="仿宋_GB2312" w:hAnsi="仿宋_GB2312" w:eastAsia="仿宋_GB2312"/>
                <w:b w:val="0"/>
                <w:color w:val="000000"/>
                <w:sz w:val="32"/>
              </w:rPr>
              <w:t>企业自述，口径不一</w:t>
            </w:r>
          </w:p>
        </w:tc>
      </w:tr>
      <w:tr>
        <w:tc>
          <w:tcPr>
            <w:tcW w:type="dxa" w:w="2948"/>
          </w:tcPr>
          <w:p>
            <w:pPr>
              <w:spacing w:lineRule="exact" w:line="600"/>
              <w:jc w:val="center"/>
            </w:pPr>
            <w:r/>
            <w:r>
              <w:rPr>
                <w:rFonts w:ascii="仿宋_GB2312" w:hAnsi="仿宋_GB2312" w:eastAsia="仿宋_GB2312"/>
                <w:b w:val="0"/>
                <w:color w:val="000000"/>
                <w:sz w:val="32"/>
              </w:rPr>
              <w:t>年产产能</w:t>
            </w:r>
          </w:p>
        </w:tc>
        <w:tc>
          <w:tcPr>
            <w:tcW w:type="dxa" w:w="2948"/>
          </w:tcPr>
          <w:p>
            <w:pPr>
              <w:spacing w:lineRule="exact" w:line="600"/>
              <w:jc w:val="center"/>
            </w:pPr>
            <w:r/>
            <w:r>
              <w:rPr>
                <w:rFonts w:ascii="仿宋_GB2312" w:hAnsi="仿宋_GB2312" w:eastAsia="仿宋_GB2312"/>
                <w:b w:val="0"/>
                <w:color w:val="000000"/>
                <w:sz w:val="32"/>
              </w:rPr>
              <w:t>6000吨</w:t>
            </w:r>
          </w:p>
        </w:tc>
        <w:tc>
          <w:tcPr>
            <w:tcW w:type="dxa" w:w="2948"/>
          </w:tcPr>
          <w:p>
            <w:pPr>
              <w:spacing w:lineRule="exact" w:line="600"/>
              <w:jc w:val="center"/>
            </w:pPr>
            <w:r/>
            <w:r>
              <w:rPr>
                <w:rFonts w:ascii="仿宋_GB2312" w:hAnsi="仿宋_GB2312" w:eastAsia="仿宋_GB2312"/>
                <w:b w:val="0"/>
                <w:color w:val="000000"/>
                <w:sz w:val="32"/>
              </w:rPr>
              <w:t>企业自述</w:t>
            </w:r>
          </w:p>
        </w:tc>
      </w:tr>
      <w:tr>
        <w:tc>
          <w:tcPr>
            <w:tcW w:type="dxa" w:w="2948"/>
          </w:tcPr>
          <w:p>
            <w:pPr>
              <w:spacing w:lineRule="exact" w:line="600"/>
              <w:jc w:val="center"/>
            </w:pPr>
            <w:r/>
            <w:r>
              <w:rPr>
                <w:rFonts w:ascii="仿宋_GB2312" w:hAnsi="仿宋_GB2312" w:eastAsia="仿宋_GB2312"/>
                <w:b w:val="0"/>
                <w:color w:val="000000"/>
                <w:sz w:val="32"/>
              </w:rPr>
              <w:t>转型时点</w:t>
            </w:r>
          </w:p>
        </w:tc>
        <w:tc>
          <w:tcPr>
            <w:tcW w:type="dxa" w:w="2948"/>
          </w:tcPr>
          <w:p>
            <w:pPr>
              <w:spacing w:lineRule="exact" w:line="600"/>
              <w:jc w:val="center"/>
            </w:pPr>
            <w:r/>
            <w:r>
              <w:rPr>
                <w:rFonts w:ascii="仿宋_GB2312" w:hAnsi="仿宋_GB2312" w:eastAsia="仿宋_GB2312"/>
                <w:b w:val="0"/>
                <w:color w:val="000000"/>
                <w:sz w:val="32"/>
              </w:rPr>
              <w:t>2024年7月启动，2025年2月正式投产</w:t>
            </w:r>
          </w:p>
        </w:tc>
        <w:tc>
          <w:tcPr>
            <w:tcW w:type="dxa" w:w="2948"/>
          </w:tcPr>
          <w:p>
            <w:pPr>
              <w:spacing w:lineRule="exact" w:line="600"/>
              <w:jc w:val="center"/>
            </w:pPr>
            <w:r/>
            <w:r>
              <w:rPr>
                <w:rFonts w:ascii="仿宋_GB2312" w:hAnsi="仿宋_GB2312" w:eastAsia="仿宋_GB2312"/>
                <w:b w:val="0"/>
                <w:color w:val="000000"/>
                <w:sz w:val="32"/>
              </w:rPr>
              <w:t>企业自述</w:t>
            </w:r>
          </w:p>
        </w:tc>
      </w:tr>
      <w:tr>
        <w:tc>
          <w:tcPr>
            <w:tcW w:type="dxa" w:w="2948"/>
          </w:tcPr>
          <w:p>
            <w:pPr>
              <w:spacing w:lineRule="exact" w:line="600"/>
              <w:jc w:val="center"/>
            </w:pPr>
            <w:r/>
            <w:r>
              <w:rPr>
                <w:rFonts w:ascii="仿宋_GB2312" w:hAnsi="仿宋_GB2312" w:eastAsia="仿宋_GB2312"/>
                <w:b w:val="0"/>
                <w:color w:val="000000"/>
                <w:sz w:val="32"/>
              </w:rPr>
              <w:t>自主品牌</w:t>
            </w:r>
          </w:p>
        </w:tc>
        <w:tc>
          <w:tcPr>
            <w:tcW w:type="dxa" w:w="2948"/>
          </w:tcPr>
          <w:p>
            <w:pPr>
              <w:spacing w:lineRule="exact" w:line="600"/>
              <w:jc w:val="center"/>
            </w:pPr>
            <w:r/>
            <w:r>
              <w:rPr>
                <w:rFonts w:ascii="仿宋_GB2312" w:hAnsi="仿宋_GB2312" w:eastAsia="仿宋_GB2312"/>
                <w:b w:val="0"/>
                <w:color w:val="000000"/>
                <w:sz w:val="32"/>
              </w:rPr>
              <w:t>龙翔篷布</w:t>
            </w:r>
          </w:p>
        </w:tc>
        <w:tc>
          <w:tcPr>
            <w:tcW w:type="dxa" w:w="2948"/>
          </w:tcPr>
          <w:p>
            <w:pPr>
              <w:spacing w:lineRule="exact" w:line="600"/>
              <w:jc w:val="center"/>
            </w:pPr>
            <w:r/>
            <w:r>
              <w:rPr>
                <w:rFonts w:ascii="仿宋_GB2312" w:hAnsi="仿宋_GB2312" w:eastAsia="仿宋_GB2312"/>
                <w:b w:val="0"/>
                <w:color w:val="000000"/>
                <w:sz w:val="32"/>
              </w:rPr>
              <w:t>企业自述</w:t>
            </w:r>
          </w:p>
        </w:tc>
      </w:tr>
      <w:tr>
        <w:tc>
          <w:tcPr>
            <w:tcW w:type="dxa" w:w="2948"/>
          </w:tcPr>
          <w:p>
            <w:pPr>
              <w:spacing w:lineRule="exact" w:line="600"/>
              <w:jc w:val="center"/>
            </w:pPr>
            <w:r/>
            <w:r>
              <w:rPr>
                <w:rFonts w:ascii="仿宋_GB2312" w:hAnsi="仿宋_GB2312" w:eastAsia="仿宋_GB2312"/>
                <w:b w:val="0"/>
                <w:color w:val="000000"/>
                <w:sz w:val="32"/>
              </w:rPr>
              <w:t>专利技术</w:t>
            </w:r>
          </w:p>
        </w:tc>
        <w:tc>
          <w:tcPr>
            <w:tcW w:type="dxa" w:w="2948"/>
          </w:tcPr>
          <w:p>
            <w:pPr>
              <w:spacing w:lineRule="exact" w:line="600"/>
              <w:jc w:val="center"/>
            </w:pPr>
            <w:r/>
            <w:r>
              <w:rPr>
                <w:rFonts w:ascii="仿宋_GB2312" w:hAnsi="仿宋_GB2312" w:eastAsia="仿宋_GB2312"/>
                <w:b w:val="0"/>
                <w:color w:val="000000"/>
                <w:sz w:val="32"/>
              </w:rPr>
              <w:t>自主专利10项（另有13项表述）；天眼查专利27条</w:t>
            </w:r>
          </w:p>
        </w:tc>
        <w:tc>
          <w:tcPr>
            <w:tcW w:type="dxa" w:w="2948"/>
          </w:tcPr>
          <w:p>
            <w:pPr>
              <w:spacing w:lineRule="exact" w:line="600"/>
              <w:jc w:val="center"/>
            </w:pPr>
            <w:r/>
            <w:r>
              <w:rPr>
                <w:rFonts w:ascii="仿宋_GB2312" w:hAnsi="仿宋_GB2312" w:eastAsia="仿宋_GB2312"/>
                <w:b w:val="0"/>
                <w:color w:val="000000"/>
                <w:sz w:val="32"/>
              </w:rPr>
              <w:t>企业自述、天眼查</w:t>
            </w:r>
          </w:p>
        </w:tc>
      </w:tr>
      <w:tr>
        <w:tc>
          <w:tcPr>
            <w:tcW w:type="dxa" w:w="2948"/>
          </w:tcPr>
          <w:p>
            <w:pPr>
              <w:spacing w:lineRule="exact" w:line="600"/>
              <w:jc w:val="center"/>
            </w:pPr>
            <w:r/>
            <w:r>
              <w:rPr>
                <w:rFonts w:ascii="仿宋_GB2312" w:hAnsi="仿宋_GB2312" w:eastAsia="仿宋_GB2312"/>
                <w:b w:val="0"/>
                <w:color w:val="000000"/>
                <w:sz w:val="32"/>
              </w:rPr>
              <w:t>主营产品</w:t>
            </w:r>
          </w:p>
        </w:tc>
        <w:tc>
          <w:tcPr>
            <w:tcW w:type="dxa" w:w="2948"/>
          </w:tcPr>
          <w:p>
            <w:pPr>
              <w:spacing w:lineRule="exact" w:line="600"/>
              <w:jc w:val="center"/>
            </w:pPr>
            <w:r/>
            <w:r>
              <w:rPr>
                <w:rFonts w:ascii="仿宋_GB2312" w:hAnsi="仿宋_GB2312" w:eastAsia="仿宋_GB2312"/>
                <w:b w:val="0"/>
                <w:color w:val="000000"/>
                <w:sz w:val="32"/>
              </w:rPr>
              <w:t>汽车篷布、货车篷布、防雨布、苫盖布、车用篷布</w:t>
            </w:r>
          </w:p>
        </w:tc>
        <w:tc>
          <w:tcPr>
            <w:tcW w:type="dxa" w:w="2948"/>
          </w:tcPr>
          <w:p>
            <w:pPr>
              <w:spacing w:lineRule="exact" w:line="600"/>
              <w:jc w:val="center"/>
            </w:pPr>
            <w:r/>
            <w:r>
              <w:rPr>
                <w:rFonts w:ascii="仿宋_GB2312" w:hAnsi="仿宋_GB2312" w:eastAsia="仿宋_GB2312"/>
                <w:b w:val="0"/>
                <w:color w:val="000000"/>
                <w:sz w:val="32"/>
              </w:rPr>
              <w:t>企业自述</w:t>
            </w:r>
          </w:p>
        </w:tc>
      </w:tr>
      <w:tr>
        <w:tc>
          <w:tcPr>
            <w:tcW w:type="dxa" w:w="2948"/>
          </w:tcPr>
          <w:p>
            <w:pPr>
              <w:spacing w:lineRule="exact" w:line="600"/>
              <w:jc w:val="center"/>
            </w:pPr>
            <w:r/>
            <w:r>
              <w:rPr>
                <w:rFonts w:ascii="仿宋_GB2312" w:hAnsi="仿宋_GB2312" w:eastAsia="仿宋_GB2312"/>
                <w:b w:val="0"/>
                <w:color w:val="000000"/>
                <w:sz w:val="32"/>
              </w:rPr>
              <w:t>原有业务</w:t>
            </w:r>
          </w:p>
        </w:tc>
        <w:tc>
          <w:tcPr>
            <w:tcW w:type="dxa" w:w="2948"/>
          </w:tcPr>
          <w:p>
            <w:pPr>
              <w:spacing w:lineRule="exact" w:line="600"/>
              <w:jc w:val="center"/>
            </w:pPr>
            <w:r/>
            <w:r>
              <w:rPr>
                <w:rFonts w:ascii="仿宋_GB2312" w:hAnsi="仿宋_GB2312" w:eastAsia="仿宋_GB2312"/>
                <w:b w:val="0"/>
                <w:color w:val="000000"/>
                <w:sz w:val="32"/>
              </w:rPr>
              <w:t>安全网、防尘网（深耕15年）</w:t>
            </w:r>
          </w:p>
        </w:tc>
        <w:tc>
          <w:tcPr>
            <w:tcW w:type="dxa" w:w="2948"/>
          </w:tcPr>
          <w:p>
            <w:pPr>
              <w:spacing w:lineRule="exact" w:line="600"/>
              <w:jc w:val="center"/>
            </w:pPr>
            <w:r/>
            <w:r>
              <w:rPr>
                <w:rFonts w:ascii="仿宋_GB2312" w:hAnsi="仿宋_GB2312" w:eastAsia="仿宋_GB2312"/>
                <w:b w:val="0"/>
                <w:color w:val="000000"/>
                <w:sz w:val="32"/>
              </w:rPr>
              <w:t>企业自述</w:t>
            </w:r>
          </w:p>
        </w:tc>
      </w:tr>
    </w:tbl>
    <w:p>
      <w:pPr>
        <w:spacing w:lineRule="exact" w:line="600" w:before="0" w:after="0"/>
        <w:ind w:firstLine="420"/>
        <w:jc w:val="both"/>
      </w:pPr>
      <w:r>
        <w:rPr>
          <w:rFonts w:ascii="仿宋_GB2312" w:hAnsi="仿宋_GB2312" w:eastAsia="仿宋_GB2312"/>
          <w:b w:val="0"/>
          <w:color w:val="000000"/>
          <w:sz w:val="32"/>
        </w:rPr>
        <w:t>需要说明的是，公司在不同B2B平台填报的员工规模存在"120人左右"与"11—50人"两种口径，前者见于企业概况文字描述，后者见于平台标准化的企业资料表单。结合其15300平方米占地、6000吨年产能的规模判断，实际用工应在数十人至百人量级，具体数字需实地核实。同时，B2B平台填报的"年营业额50—100万元"与6000吨年产能严重不匹配，判断为企业注册时随意勾选的默认档位，不具备参考价值，本报告不予采信。</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（一）业务转型历程</w:t>
      </w:r>
    </w:p>
    <w:p>
      <w:pPr>
        <w:spacing w:lineRule="exact" w:line="600" w:before="0" w:after="0"/>
        <w:ind w:firstLine="420"/>
        <w:jc w:val="both"/>
      </w:pPr>
      <w:r>
        <w:rPr>
          <w:rFonts w:ascii="仿宋_GB2312" w:hAnsi="仿宋_GB2312" w:eastAsia="仿宋_GB2312"/>
          <w:b w:val="0"/>
          <w:color w:val="000000"/>
          <w:sz w:val="32"/>
        </w:rPr>
        <w:t>公司的经营历程可清晰划分为两个阶段。第一阶段为2009年至2024年，公司以安全网、防尘网生产为主业，深耕该领域15年，是惠民绳网集群中典型的传统品类生产企业。这一阶段公司积累了化纤拉丝、经编织造、涂覆整理等基础工艺能力和产业工人队伍，但也面临集群内数千家同类企业同质化竞争、产品附加值持续走低的困境。</w:t>
      </w:r>
    </w:p>
    <w:p>
      <w:pPr>
        <w:spacing w:lineRule="exact" w:line="600" w:before="0" w:after="0"/>
        <w:ind w:firstLine="420"/>
        <w:jc w:val="both"/>
      </w:pPr>
      <w:r>
        <w:rPr>
          <w:rFonts w:ascii="仿宋_GB2312" w:hAnsi="仿宋_GB2312" w:eastAsia="仿宋_GB2312"/>
          <w:b w:val="0"/>
          <w:color w:val="000000"/>
          <w:sz w:val="32"/>
        </w:rPr>
        <w:t>第二阶段自2024年7月开始。公司"根据市场变化"正式转型生产经营汽车篷布，并于2025年2月正式投产，创建"龙翔篷布"科技品牌。这一转型的战略逻辑十分清晰：汽车篷布与安全网、防尘网在原材料（聚烯烃、涤纶基布）、核心工艺（涂覆、热合、裁切缝制）上高度相通，设备与技术可实现较大程度复用，转型成本相对可控；而在市场端，汽车篷布面向公路货运、物流运输、工程机械苫盖等场景，需求稳定、客户与传统绳网市场重叠度低，可有效避开集群内的红海竞争；在价值端，汽车篷布对防水、防晒、抗撕裂、耐折叠、抗老化等性能要求更高，单位价值量与毛利率显著优于普通防尘网。</w:t>
      </w:r>
    </w:p>
    <w:p>
      <w:pPr>
        <w:spacing w:lineRule="exact" w:line="600" w:before="0" w:after="0"/>
        <w:ind w:firstLine="420"/>
        <w:jc w:val="both"/>
      </w:pPr>
      <w:r>
        <w:rPr>
          <w:rFonts w:ascii="仿宋_GB2312" w:hAnsi="仿宋_GB2312" w:eastAsia="仿宋_GB2312"/>
          <w:b w:val="0"/>
          <w:color w:val="000000"/>
          <w:sz w:val="32"/>
        </w:rPr>
        <w:t>转型的关键成果是建成了"从生产到深加工成品"的完整流水线，成为滨州市首家具备该能力的车篷布企业。所谓"深加工成品"，是指不仅生产篷布基材，还完成按车型规格的裁切、热合、打孔、加装绳扣与加强边等成品化工序，直接向终端用户交付可安装使用的产品。相比只卖基布的同行，成品化能力大幅提升了单位面积的附加值与客户粘性。</w:t>
      </w:r>
    </w:p>
    <w:p>
      <w:pPr>
        <w:spacing w:lineRule="exact" w:line="600" w:before="120" w:after="120"/>
        <w:ind w:firstLine="420"/>
        <w:jc w:val="left"/>
      </w:pPr>
      <w:r>
        <w:rPr>
          <w:rFonts w:ascii="楷体_GB2312" w:hAnsi="楷体_GB2312" w:eastAsia="楷体_GB2312"/>
          <w:b w:val="0"/>
          <w:color w:val="000000"/>
          <w:sz w:val="32"/>
        </w:rPr>
        <w:t>（二）产品体系与技术特点</w:t>
      </w:r>
    </w:p>
    <w:p>
      <w:pPr>
        <w:spacing w:lineRule="exact" w:line="600" w:before="0" w:after="0"/>
        <w:ind w:firstLine="420"/>
        <w:jc w:val="both"/>
      </w:pPr>
      <w:r>
        <w:rPr>
          <w:rFonts w:ascii="仿宋_GB2312" w:hAnsi="仿宋_GB2312" w:eastAsia="仿宋_GB2312"/>
          <w:b w:val="0"/>
          <w:color w:val="000000"/>
          <w:sz w:val="32"/>
        </w:rPr>
        <w:t>公司现主营产品包括汽车篷布、货车篷布、防雨布、苫盖布、篷布、车用篷布等，统一以"龙翔篷布"品牌对外销售。技术方面，公司自述"高度重视科技创新，系统推进新品研发，拥有防尘、防水、防晒、抗氧化等自主专利技术10项"，Wind企业库另载其定位为小企业、高科技，重视科技创新，拥有13项自主专利技术；天眼查统计的专利信息则为27条、商标信息8条、著作权信息4条。三种口径的差异，可能源于统计时点不同（专利持续申请授权中）以及"核心专利"与"全部专利"的口径区别。</w:t>
      </w:r>
    </w:p>
    <w:p>
      <w:pPr>
        <w:spacing w:lineRule="exact" w:line="600" w:before="0" w:after="0"/>
        <w:ind w:firstLine="420"/>
        <w:jc w:val="both"/>
      </w:pPr>
      <w:r>
        <w:rPr>
          <w:rFonts w:ascii="仿宋_GB2312" w:hAnsi="仿宋_GB2312" w:eastAsia="仿宋_GB2312"/>
          <w:b w:val="0"/>
          <w:color w:val="000000"/>
          <w:sz w:val="32"/>
        </w:rPr>
        <w:t>从技术方向看，公司专利集中于防尘、防水、防晒、抗氧化四类功能，这正是汽车篷布在长期户外使用中的核心性能痛点——货车篷布常年经受日晒雨淋、高速行驶风压与反复折叠，普通篷布易出现涂层龟裂、基布粉化、接缝开裂等问题。公司围绕这些痛点形成专利布局，技术路线与市场需求匹配度较高。</w:t>
      </w:r>
    </w:p>
    <w:p>
      <w:pPr>
        <w:spacing w:lineRule="exact" w:line="600" w:before="0" w:after="0"/>
        <w:ind w:firstLine="420"/>
        <w:jc w:val="both"/>
      </w:pPr>
      <w:r>
        <w:rPr>
          <w:rFonts w:ascii="仿宋_GB2312" w:hAnsi="仿宋_GB2312" w:eastAsia="仿宋_GB2312"/>
          <w:b w:val="0"/>
          <w:color w:val="000000"/>
          <w:sz w:val="32"/>
        </w:rPr>
        <w:t>品牌方面，公司提出"生产智能化、产品高端化、市场国际化"的战略布局，以"质量兴企，争创名牌"作为经营理念。"龙翔篷布"作为新创品牌，目前市场认知度尚在建立阶段，品牌资产的积累需要时间与持续投入。</w:t>
      </w:r>
    </w:p>
    <w:p>
      <w:pPr>
        <w:spacing w:lineRule="exact" w:line="600" w:before="120" w:after="120"/>
        <w:ind w:firstLine="420"/>
        <w:jc w:val="left"/>
      </w:pPr>
      <w:r>
        <w:rPr>
          <w:rFonts w:ascii="楷体_GB2312" w:hAnsi="楷体_GB2312" w:eastAsia="楷体_GB2312"/>
          <w:b w:val="0"/>
          <w:color w:val="000000"/>
          <w:sz w:val="32"/>
        </w:rPr>
        <w:t>（三）市场与客户结构</w:t>
      </w:r>
    </w:p>
    <w:p>
      <w:pPr>
        <w:spacing w:lineRule="exact" w:line="600" w:before="0" w:after="0"/>
        <w:ind w:firstLine="420"/>
        <w:jc w:val="both"/>
      </w:pPr>
      <w:r>
        <w:rPr>
          <w:rFonts w:ascii="仿宋_GB2312" w:hAnsi="仿宋_GB2312" w:eastAsia="仿宋_GB2312"/>
          <w:b w:val="0"/>
          <w:color w:val="000000"/>
          <w:sz w:val="32"/>
        </w:rPr>
        <w:t>公司主要通过B2B电商平台（中国供应商、中国制造网、b2b168等）开展线上获客，并保留线下渠道。B2B平台披露其主要市场为国内，主要客户类型未具体列示。天眼查显示公司参与招投标项目15次，说明其在政府采购与企业集中采购渠道亦有一定参与，但频次远低于同集群的安惠绳网（133次）与金冠网具（23次）。</w:t>
      </w:r>
    </w:p>
    <w:p>
      <w:pPr>
        <w:spacing w:lineRule="exact" w:line="600" w:before="0" w:after="0"/>
        <w:ind w:firstLine="420"/>
        <w:jc w:val="both"/>
      </w:pPr>
      <w:r>
        <w:rPr>
          <w:rFonts w:ascii="仿宋_GB2312" w:hAnsi="仿宋_GB2312" w:eastAsia="仿宋_GB2312"/>
          <w:b w:val="0"/>
          <w:color w:val="000000"/>
          <w:sz w:val="32"/>
        </w:rPr>
        <w:t>汽车篷布的目标客户主要包括：公路货运企业与个体运输户、货车与挂车生产及改装企业、汽车配件市场经销商、物流园区与仓储企业、工程机械租赁与露天物料苫盖需求方。这类客户具有分布分散、单笔金额较小、价格敏感度较高、复购周期相对固定（篷布属易损耗品，使用寿命通常2至4年）的特点，适合通过经销网络与线上平台进行覆盖。</w:t>
      </w:r>
    </w:p>
    <w:p>
      <w:pPr>
        <w:spacing w:lineRule="exact" w:line="600" w:before="0" w:after="0"/>
        <w:ind w:firstLine="420"/>
        <w:jc w:val="both"/>
      </w:pPr>
      <w:r>
        <w:rPr>
          <w:rFonts w:ascii="仿宋_GB2312" w:hAnsi="仿宋_GB2312" w:eastAsia="仿宋_GB2312"/>
          <w:b w:val="0"/>
          <w:color w:val="000000"/>
          <w:sz w:val="32"/>
        </w:rPr>
        <w:t>公司经营范围保留"货物进出口"，战略上也提出"市场国际化"，但目前公开信息中未见出口业务的实质性披露。考虑到惠民县2024年李庄镇进出口总额72亿元、跨境电商交易额53亿元的外贸基础设施条件，公司若能借助本地跨境电商生态开拓东南亚、中亚、非洲等公路运输发达地区的篷布市场，存在可观的增量空间。</w:t>
      </w:r>
    </w:p>
    <w:p>
      <w:pPr>
        <w:spacing w:lineRule="exact" w:line="600" w:before="120" w:after="120"/>
        <w:ind w:firstLine="420"/>
        <w:jc w:val="left"/>
      </w:pPr>
      <w:r>
        <w:rPr>
          <w:rFonts w:ascii="楷体_GB2312" w:hAnsi="楷体_GB2312" w:eastAsia="楷体_GB2312"/>
          <w:b w:val="0"/>
          <w:color w:val="000000"/>
          <w:sz w:val="32"/>
        </w:rPr>
        <w:t>（四）行业地位与竞争格局</w:t>
      </w:r>
    </w:p>
    <w:p>
      <w:pPr>
        <w:spacing w:lineRule="exact" w:line="600" w:before="0" w:after="0"/>
        <w:ind w:firstLine="420"/>
        <w:jc w:val="both"/>
      </w:pPr>
      <w:r>
        <w:rPr>
          <w:rFonts w:ascii="仿宋_GB2312" w:hAnsi="仿宋_GB2312" w:eastAsia="仿宋_GB2312"/>
          <w:b w:val="0"/>
          <w:color w:val="000000"/>
          <w:sz w:val="32"/>
        </w:rPr>
        <w:t>在惠民绳网集群4257家企业中，公司属于中小规模企业，既非规模以上企业名单中的头部，也区别于大量家庭作坊式加工业户。其独特之处在于率先完成品类转型：在集群整体面临"产业链条短、附加值不高"困境的背景下，公司主动跳出传统赛道，成为全市首家拥有车篷布完整生产深加工流水线的企业，在细分领域取得了区域性的先发优势。</w:t>
      </w:r>
    </w:p>
    <w:p>
      <w:pPr>
        <w:spacing w:lineRule="exact" w:line="600" w:before="0" w:after="0"/>
        <w:ind w:firstLine="420"/>
        <w:jc w:val="both"/>
      </w:pPr>
      <w:r>
        <w:rPr>
          <w:rFonts w:ascii="仿宋_GB2312" w:hAnsi="仿宋_GB2312" w:eastAsia="仿宋_GB2312"/>
          <w:b w:val="0"/>
          <w:color w:val="000000"/>
          <w:sz w:val="32"/>
        </w:rPr>
        <w:t>但需要清醒认识的是，汽车篷布行业本身也是一个高度分散、竞争充分的市场。国内主要产区包括浙江海宁、江苏南通、山东临沂、河北等地，其中海宁、南通在PVC涂层篷布、刀刮布领域已形成成熟的产业集群与完整配套，技术积累与品牌影响力均强于新进入者。公司的"全市首家"只是区域性优势，在全国市场竞争中仍需依靠产品性能与性价比取胜。</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（一）财务信息披露状况</w:t>
      </w:r>
    </w:p>
    <w:p>
      <w:pPr>
        <w:spacing w:lineRule="exact" w:line="600" w:before="0" w:after="0"/>
        <w:ind w:firstLine="420"/>
        <w:jc w:val="both"/>
      </w:pPr>
      <w:r>
        <w:rPr>
          <w:rFonts w:ascii="仿宋_GB2312" w:hAnsi="仿宋_GB2312" w:eastAsia="仿宋_GB2312"/>
          <w:b w:val="0"/>
          <w:color w:val="000000"/>
          <w:sz w:val="32"/>
        </w:rPr>
        <w:t>公司为非上市小微有限责任公司，不属于法定信息披露义务人，未发行公开债券或资产支持证券，未在任何公开渠道披露经审计的资产负债表、利润表、现金流量表及财务报表附注。截至本报告统计时点，通过国家企业信用信息公示系统、巨潮资讯网等渠道检索，均未获取到公司的定期财务报告。</w:t>
      </w:r>
    </w:p>
    <w:p>
      <w:pPr>
        <w:spacing w:lineRule="exact" w:line="600" w:before="0" w:after="0"/>
        <w:jc w:val="left"/>
      </w:pPr>
      <w:r>
        <w:rPr>
          <w:rFonts w:ascii="仿宋_GB2312" w:hAnsi="仿宋_GB2312" w:eastAsia="仿宋_GB2312"/>
          <w:b w:val="0"/>
          <w:color w:val="000000"/>
          <w:sz w:val="28"/>
        </w:rPr>
        <w:t>据此，本报告对公司财务状况的判断如实标注为：财务数据未公开披露。B2B平台所载"年营业额人民币50—100万元""年出口额人民币50—100万元"系企业注册时自行勾选的展示性档位，与其6000吨年产能、15300平方米厂区的实际经营体量严重不符，不具备财务分析价值，本报告明确不予采信，亦不据此作任何推断。</w:t>
      </w:r>
    </w:p>
    <w:p>
      <w:pPr>
        <w:spacing w:lineRule="exact" w:line="600" w:before="120" w:after="120"/>
        <w:ind w:firstLine="420"/>
        <w:jc w:val="left"/>
      </w:pPr>
      <w:r>
        <w:rPr>
          <w:rFonts w:ascii="楷体_GB2312" w:hAnsi="楷体_GB2312" w:eastAsia="楷体_GB2312"/>
          <w:b w:val="0"/>
          <w:color w:val="000000"/>
          <w:sz w:val="32"/>
        </w:rPr>
        <w:t>（二）可获取的资本与规模指标</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指标</w:t>
            </w:r>
          </w:p>
        </w:tc>
        <w:tc>
          <w:tcPr>
            <w:tcW w:type="dxa" w:w="2948"/>
          </w:tcPr>
          <w:p>
            <w:pPr>
              <w:spacing w:lineRule="exact" w:line="600"/>
              <w:jc w:val="center"/>
            </w:pPr>
            <w:r/>
            <w:r>
              <w:rPr>
                <w:rFonts w:ascii="黑体" w:hAnsi="黑体" w:eastAsia="黑体"/>
                <w:b/>
                <w:color w:val="000000"/>
                <w:sz w:val="32"/>
              </w:rPr>
              <w:t>数值/状态</w:t>
            </w:r>
          </w:p>
        </w:tc>
        <w:tc>
          <w:tcPr>
            <w:tcW w:type="dxa" w:w="2948"/>
          </w:tcPr>
          <w:p>
            <w:pPr>
              <w:spacing w:lineRule="exact" w:line="600"/>
              <w:jc w:val="center"/>
            </w:pPr>
            <w:r/>
            <w:r>
              <w:rPr>
                <w:rFonts w:ascii="黑体" w:hAnsi="黑体" w:eastAsia="黑体"/>
                <w:b/>
                <w:color w:val="000000"/>
                <w:sz w:val="32"/>
              </w:rPr>
              <w:t>说明</w:t>
            </w:r>
          </w:p>
        </w:tc>
      </w:tr>
      <w:tr>
        <w:tc>
          <w:tcPr>
            <w:tcW w:type="dxa" w:w="2948"/>
          </w:tcPr>
          <w:p>
            <w:pPr>
              <w:spacing w:lineRule="exact" w:line="600"/>
              <w:jc w:val="center"/>
            </w:pPr>
            <w:r/>
            <w:r>
              <w:rPr>
                <w:rFonts w:ascii="仿宋_GB2312" w:hAnsi="仿宋_GB2312" w:eastAsia="仿宋_GB2312"/>
                <w:b w:val="0"/>
                <w:color w:val="000000"/>
                <w:sz w:val="32"/>
              </w:rPr>
              <w:t>注册资本</w:t>
            </w:r>
          </w:p>
        </w:tc>
        <w:tc>
          <w:tcPr>
            <w:tcW w:type="dxa" w:w="2948"/>
          </w:tcPr>
          <w:p>
            <w:pPr>
              <w:spacing w:lineRule="exact" w:line="600"/>
              <w:jc w:val="center"/>
            </w:pPr>
            <w:r/>
            <w:r>
              <w:rPr>
                <w:rFonts w:ascii="仿宋_GB2312" w:hAnsi="仿宋_GB2312" w:eastAsia="仿宋_GB2312"/>
                <w:b w:val="0"/>
                <w:color w:val="000000"/>
                <w:sz w:val="32"/>
              </w:rPr>
              <w:t>600万元人民币</w:t>
            </w:r>
          </w:p>
        </w:tc>
        <w:tc>
          <w:tcPr>
            <w:tcW w:type="dxa" w:w="2948"/>
          </w:tcPr>
          <w:p>
            <w:pPr>
              <w:spacing w:lineRule="exact" w:line="600"/>
              <w:jc w:val="center"/>
            </w:pPr>
            <w:r/>
            <w:r>
              <w:rPr>
                <w:rFonts w:ascii="仿宋_GB2312" w:hAnsi="仿宋_GB2312" w:eastAsia="仿宋_GB2312"/>
                <w:b w:val="0"/>
                <w:color w:val="000000"/>
                <w:sz w:val="32"/>
              </w:rPr>
              <w:t>工商登记</w:t>
            </w:r>
          </w:p>
        </w:tc>
      </w:tr>
      <w:tr>
        <w:tc>
          <w:tcPr>
            <w:tcW w:type="dxa" w:w="2948"/>
          </w:tcPr>
          <w:p>
            <w:pPr>
              <w:spacing w:lineRule="exact" w:line="600"/>
              <w:jc w:val="center"/>
            </w:pPr>
            <w:r/>
            <w:r>
              <w:rPr>
                <w:rFonts w:ascii="仿宋_GB2312" w:hAnsi="仿宋_GB2312" w:eastAsia="仿宋_GB2312"/>
                <w:b w:val="0"/>
                <w:color w:val="000000"/>
                <w:sz w:val="32"/>
              </w:rPr>
              <w:t>实缴资本</w:t>
            </w:r>
          </w:p>
        </w:tc>
        <w:tc>
          <w:tcPr>
            <w:tcW w:type="dxa" w:w="2948"/>
          </w:tcPr>
          <w:p>
            <w:pPr>
              <w:spacing w:lineRule="exact" w:line="600"/>
              <w:jc w:val="center"/>
            </w:pPr>
            <w:r/>
            <w:r>
              <w:rPr>
                <w:rFonts w:ascii="仿宋_GB2312" w:hAnsi="仿宋_GB2312" w:eastAsia="仿宋_GB2312"/>
                <w:b w:val="0"/>
                <w:color w:val="000000"/>
                <w:sz w:val="32"/>
              </w:rPr>
              <w:t>180万元／120万元</w:t>
            </w:r>
          </w:p>
        </w:tc>
        <w:tc>
          <w:tcPr>
            <w:tcW w:type="dxa" w:w="2948"/>
          </w:tcPr>
          <w:p>
            <w:pPr>
              <w:spacing w:lineRule="exact" w:line="600"/>
              <w:jc w:val="center"/>
            </w:pPr>
            <w:r/>
            <w:r>
              <w:rPr>
                <w:rFonts w:ascii="仿宋_GB2312" w:hAnsi="仿宋_GB2312" w:eastAsia="仿宋_GB2312"/>
                <w:b w:val="0"/>
                <w:color w:val="000000"/>
                <w:sz w:val="32"/>
              </w:rPr>
              <w:t>不同渠道口径不一，实缴比例20%—30%</w:t>
            </w:r>
          </w:p>
        </w:tc>
      </w:tr>
      <w:tr>
        <w:tc>
          <w:tcPr>
            <w:tcW w:type="dxa" w:w="2948"/>
          </w:tcPr>
          <w:p>
            <w:pPr>
              <w:spacing w:lineRule="exact" w:line="600"/>
              <w:jc w:val="center"/>
            </w:pPr>
            <w:r/>
            <w:r>
              <w:rPr>
                <w:rFonts w:ascii="仿宋_GB2312" w:hAnsi="仿宋_GB2312" w:eastAsia="仿宋_GB2312"/>
                <w:b w:val="0"/>
                <w:color w:val="000000"/>
                <w:sz w:val="32"/>
              </w:rPr>
              <w:t>纳税人资质</w:t>
            </w:r>
          </w:p>
        </w:tc>
        <w:tc>
          <w:tcPr>
            <w:tcW w:type="dxa" w:w="2948"/>
          </w:tcPr>
          <w:p>
            <w:pPr>
              <w:spacing w:lineRule="exact" w:line="600"/>
              <w:jc w:val="center"/>
            </w:pPr>
            <w:r/>
            <w:r>
              <w:rPr>
                <w:rFonts w:ascii="仿宋_GB2312" w:hAnsi="仿宋_GB2312" w:eastAsia="仿宋_GB2312"/>
                <w:b w:val="0"/>
                <w:color w:val="000000"/>
                <w:sz w:val="32"/>
              </w:rPr>
              <w:t>增值税一般纳税人</w:t>
            </w:r>
          </w:p>
        </w:tc>
        <w:tc>
          <w:tcPr>
            <w:tcW w:type="dxa" w:w="2948"/>
          </w:tcPr>
          <w:p>
            <w:pPr>
              <w:spacing w:lineRule="exact" w:line="600"/>
              <w:jc w:val="center"/>
            </w:pPr>
            <w:r/>
            <w:r>
              <w:rPr>
                <w:rFonts w:ascii="仿宋_GB2312" w:hAnsi="仿宋_GB2312" w:eastAsia="仿宋_GB2312"/>
                <w:b w:val="0"/>
                <w:color w:val="000000"/>
                <w:sz w:val="32"/>
              </w:rPr>
              <w:t>工商公示</w:t>
            </w:r>
          </w:p>
        </w:tc>
      </w:tr>
      <w:tr>
        <w:tc>
          <w:tcPr>
            <w:tcW w:type="dxa" w:w="2948"/>
          </w:tcPr>
          <w:p>
            <w:pPr>
              <w:spacing w:lineRule="exact" w:line="600"/>
              <w:jc w:val="center"/>
            </w:pPr>
            <w:r/>
            <w:r>
              <w:rPr>
                <w:rFonts w:ascii="仿宋_GB2312" w:hAnsi="仿宋_GB2312" w:eastAsia="仿宋_GB2312"/>
                <w:b w:val="0"/>
                <w:color w:val="000000"/>
                <w:sz w:val="32"/>
              </w:rPr>
              <w:t>营业收入</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非上市小微企业未披露</w:t>
            </w:r>
          </w:p>
        </w:tc>
      </w:tr>
      <w:tr>
        <w:tc>
          <w:tcPr>
            <w:tcW w:type="dxa" w:w="2948"/>
          </w:tcPr>
          <w:p>
            <w:pPr>
              <w:spacing w:lineRule="exact" w:line="600"/>
              <w:jc w:val="center"/>
            </w:pPr>
            <w:r/>
            <w:r>
              <w:rPr>
                <w:rFonts w:ascii="仿宋_GB2312" w:hAnsi="仿宋_GB2312" w:eastAsia="仿宋_GB2312"/>
                <w:b w:val="0"/>
                <w:color w:val="000000"/>
                <w:sz w:val="32"/>
              </w:rPr>
              <w:t>净利润</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非上市小微企业未披露</w:t>
            </w:r>
          </w:p>
        </w:tc>
      </w:tr>
      <w:tr>
        <w:tc>
          <w:tcPr>
            <w:tcW w:type="dxa" w:w="2948"/>
          </w:tcPr>
          <w:p>
            <w:pPr>
              <w:spacing w:lineRule="exact" w:line="600"/>
              <w:jc w:val="center"/>
            </w:pPr>
            <w:r/>
            <w:r>
              <w:rPr>
                <w:rFonts w:ascii="仿宋_GB2312" w:hAnsi="仿宋_GB2312" w:eastAsia="仿宋_GB2312"/>
                <w:b w:val="0"/>
                <w:color w:val="000000"/>
                <w:sz w:val="32"/>
              </w:rPr>
              <w:t>资产总额</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非上市小微企业未披露</w:t>
            </w:r>
          </w:p>
        </w:tc>
      </w:tr>
      <w:tr>
        <w:tc>
          <w:tcPr>
            <w:tcW w:type="dxa" w:w="2948"/>
          </w:tcPr>
          <w:p>
            <w:pPr>
              <w:spacing w:lineRule="exact" w:line="600"/>
              <w:jc w:val="center"/>
            </w:pPr>
            <w:r/>
            <w:r>
              <w:rPr>
                <w:rFonts w:ascii="仿宋_GB2312" w:hAnsi="仿宋_GB2312" w:eastAsia="仿宋_GB2312"/>
                <w:b w:val="0"/>
                <w:color w:val="000000"/>
                <w:sz w:val="32"/>
              </w:rPr>
              <w:t>负债总额</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非上市小微企业未披露</w:t>
            </w:r>
          </w:p>
        </w:tc>
      </w:tr>
      <w:tr>
        <w:tc>
          <w:tcPr>
            <w:tcW w:type="dxa" w:w="2948"/>
          </w:tcPr>
          <w:p>
            <w:pPr>
              <w:spacing w:lineRule="exact" w:line="600"/>
              <w:jc w:val="center"/>
            </w:pPr>
            <w:r/>
            <w:r>
              <w:rPr>
                <w:rFonts w:ascii="仿宋_GB2312" w:hAnsi="仿宋_GB2312" w:eastAsia="仿宋_GB2312"/>
                <w:b w:val="0"/>
                <w:color w:val="000000"/>
                <w:sz w:val="32"/>
              </w:rPr>
              <w:t>资产负债率</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非上市小微企业未披露</w:t>
            </w:r>
          </w:p>
        </w:tc>
      </w:tr>
      <w:tr>
        <w:tc>
          <w:tcPr>
            <w:tcW w:type="dxa" w:w="2948"/>
          </w:tcPr>
          <w:p>
            <w:pPr>
              <w:spacing w:lineRule="exact" w:line="600"/>
              <w:jc w:val="center"/>
            </w:pPr>
            <w:r/>
            <w:r>
              <w:rPr>
                <w:rFonts w:ascii="仿宋_GB2312" w:hAnsi="仿宋_GB2312" w:eastAsia="仿宋_GB2312"/>
                <w:b w:val="0"/>
                <w:color w:val="000000"/>
                <w:sz w:val="32"/>
              </w:rPr>
              <w:t>经营活动现金流</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非上市小微企业未披露</w:t>
            </w:r>
          </w:p>
        </w:tc>
      </w:tr>
      <w:tr>
        <w:tc>
          <w:tcPr>
            <w:tcW w:type="dxa" w:w="2948"/>
          </w:tcPr>
          <w:p>
            <w:pPr>
              <w:spacing w:lineRule="exact" w:line="600"/>
              <w:jc w:val="center"/>
            </w:pPr>
            <w:r/>
            <w:r>
              <w:rPr>
                <w:rFonts w:ascii="仿宋_GB2312" w:hAnsi="仿宋_GB2312" w:eastAsia="仿宋_GB2312"/>
                <w:b w:val="0"/>
                <w:color w:val="000000"/>
                <w:sz w:val="32"/>
              </w:rPr>
              <w:t>企业规模</w:t>
            </w:r>
          </w:p>
        </w:tc>
        <w:tc>
          <w:tcPr>
            <w:tcW w:type="dxa" w:w="2948"/>
          </w:tcPr>
          <w:p>
            <w:pPr>
              <w:spacing w:lineRule="exact" w:line="600"/>
              <w:jc w:val="center"/>
            </w:pPr>
            <w:r/>
            <w:r>
              <w:rPr>
                <w:rFonts w:ascii="仿宋_GB2312" w:hAnsi="仿宋_GB2312" w:eastAsia="仿宋_GB2312"/>
                <w:b w:val="0"/>
                <w:color w:val="000000"/>
                <w:sz w:val="32"/>
              </w:rPr>
              <w:t>小微企业</w:t>
            </w:r>
          </w:p>
        </w:tc>
        <w:tc>
          <w:tcPr>
            <w:tcW w:type="dxa" w:w="2948"/>
          </w:tcPr>
          <w:p>
            <w:pPr>
              <w:spacing w:lineRule="exact" w:line="600"/>
              <w:jc w:val="center"/>
            </w:pPr>
            <w:r/>
            <w:r>
              <w:rPr>
                <w:rFonts w:ascii="仿宋_GB2312" w:hAnsi="仿宋_GB2312" w:eastAsia="仿宋_GB2312"/>
                <w:b w:val="0"/>
                <w:color w:val="000000"/>
                <w:sz w:val="32"/>
              </w:rPr>
              <w:t>Wind、工商公示</w:t>
            </w:r>
          </w:p>
        </w:tc>
      </w:tr>
      <w:tr>
        <w:tc>
          <w:tcPr>
            <w:tcW w:type="dxa" w:w="2948"/>
          </w:tcPr>
          <w:p>
            <w:pPr>
              <w:spacing w:lineRule="exact" w:line="600"/>
              <w:jc w:val="center"/>
            </w:pPr>
            <w:r/>
            <w:r>
              <w:rPr>
                <w:rFonts w:ascii="仿宋_GB2312" w:hAnsi="仿宋_GB2312" w:eastAsia="仿宋_GB2312"/>
                <w:b w:val="0"/>
                <w:color w:val="000000"/>
                <w:sz w:val="32"/>
              </w:rPr>
              <w:t>发展阶段</w:t>
            </w:r>
          </w:p>
        </w:tc>
        <w:tc>
          <w:tcPr>
            <w:tcW w:type="dxa" w:w="2948"/>
          </w:tcPr>
          <w:p>
            <w:pPr>
              <w:spacing w:lineRule="exact" w:line="600"/>
              <w:jc w:val="center"/>
            </w:pPr>
            <w:r/>
            <w:r>
              <w:rPr>
                <w:rFonts w:ascii="仿宋_GB2312" w:hAnsi="仿宋_GB2312" w:eastAsia="仿宋_GB2312"/>
                <w:b w:val="0"/>
                <w:color w:val="000000"/>
                <w:sz w:val="32"/>
              </w:rPr>
              <w:t>成熟期（第三方模型判定）</w:t>
            </w:r>
          </w:p>
        </w:tc>
        <w:tc>
          <w:tcPr>
            <w:tcW w:type="dxa" w:w="2948"/>
          </w:tcPr>
          <w:p>
            <w:pPr>
              <w:spacing w:lineRule="exact" w:line="600"/>
              <w:jc w:val="center"/>
            </w:pPr>
            <w:r/>
            <w:r>
              <w:rPr>
                <w:rFonts w:ascii="仿宋_GB2312" w:hAnsi="仿宋_GB2312" w:eastAsia="仿宋_GB2312"/>
                <w:b w:val="0"/>
                <w:color w:val="000000"/>
                <w:sz w:val="32"/>
              </w:rPr>
              <w:t>Wind企业库</w:t>
            </w:r>
          </w:p>
        </w:tc>
      </w:tr>
    </w:tbl>
    <w:p>
      <w:pPr>
        <w:spacing w:lineRule="exact" w:line="600" w:before="0" w:after="0"/>
        <w:ind w:firstLine="420"/>
        <w:jc w:val="both"/>
      </w:pPr>
      <w:r>
        <w:rPr>
          <w:rFonts w:ascii="仿宋_GB2312" w:hAnsi="仿宋_GB2312" w:eastAsia="仿宋_GB2312"/>
          <w:b w:val="0"/>
          <w:color w:val="000000"/>
          <w:sz w:val="32"/>
        </w:rPr>
        <w:t>在可获取的少量指标中，"增值税一般纳税人"资质具有一定的分析价值：成为一般纳税人通常意味着年应征增值税销售额超过500万元的小规模纳税人标准，或企业主动申请以满足下游客户取得增值税专用发票的需求。结合公司为产业用纺织品制造企业、客户多为企业法人的特点，判断其年销售规模应显著超过500万元，进一步印证了B2B平台"年营业额50—100万元"数据的不可信。</w:t>
      </w:r>
    </w:p>
    <w:p>
      <w:pPr>
        <w:spacing w:lineRule="exact" w:line="600" w:before="120" w:after="120"/>
        <w:ind w:firstLine="420"/>
        <w:jc w:val="left"/>
      </w:pPr>
      <w:r>
        <w:rPr>
          <w:rFonts w:ascii="楷体_GB2312" w:hAnsi="楷体_GB2312" w:eastAsia="楷体_GB2312"/>
          <w:b w:val="0"/>
          <w:color w:val="000000"/>
          <w:sz w:val="32"/>
        </w:rPr>
        <w:t>（三）盈利能力的定性判断</w:t>
      </w:r>
    </w:p>
    <w:p>
      <w:pPr>
        <w:spacing w:lineRule="exact" w:line="600" w:before="0" w:after="0"/>
        <w:ind w:firstLine="420"/>
        <w:jc w:val="both"/>
      </w:pPr>
      <w:r>
        <w:rPr>
          <w:rFonts w:ascii="仿宋_GB2312" w:hAnsi="仿宋_GB2312" w:eastAsia="仿宋_GB2312"/>
          <w:b w:val="0"/>
          <w:color w:val="000000"/>
          <w:sz w:val="32"/>
        </w:rPr>
        <w:t>公司盈利能力的判断需分阶段看待。转型前，公司从事安全网、防尘网生产，处于集群内竞争最激烈、毛利率最薄的细分领域，盈利水平应处于行业平均或以下；这也是其在深耕15年后仍主动转型的根本原因。</w:t>
      </w:r>
    </w:p>
    <w:p>
      <w:pPr>
        <w:spacing w:lineRule="exact" w:line="600" w:before="0" w:after="0"/>
        <w:ind w:firstLine="420"/>
        <w:jc w:val="both"/>
      </w:pPr>
      <w:r>
        <w:rPr>
          <w:rFonts w:ascii="仿宋_GB2312" w:hAnsi="仿宋_GB2312" w:eastAsia="仿宋_GB2312"/>
          <w:b w:val="0"/>
          <w:color w:val="000000"/>
          <w:sz w:val="32"/>
        </w:rPr>
        <w:t>转型后，汽车篷布的单位价值量与技术含量明显高于普通防尘网，且公司具备"生产+深加工成品"的一体化能力，可获取基布制造与成品加工两段利润，理论上盈利能力应有显著改善。但需注意：2025年2月方才正式投产，截至本报告统计时点运行时间仍然有限，新品类的产能爬坡、良品率提升、客户开发与品牌建设均需时间与费用投入，转型初期很可能出现收入增长而利润承压的局面。</w:t>
      </w:r>
    </w:p>
    <w:p>
      <w:pPr>
        <w:spacing w:lineRule="exact" w:line="600" w:before="120" w:after="120"/>
        <w:ind w:firstLine="420"/>
        <w:jc w:val="left"/>
      </w:pPr>
      <w:r>
        <w:rPr>
          <w:rFonts w:ascii="楷体_GB2312" w:hAnsi="楷体_GB2312" w:eastAsia="楷体_GB2312"/>
          <w:b w:val="0"/>
          <w:color w:val="000000"/>
          <w:sz w:val="32"/>
        </w:rPr>
        <w:t>（四）偿债能力与流动性的定性判断</w:t>
      </w:r>
    </w:p>
    <w:p>
      <w:pPr>
        <w:spacing w:lineRule="exact" w:line="600" w:before="0" w:after="0"/>
        <w:ind w:firstLine="420"/>
        <w:jc w:val="both"/>
      </w:pPr>
      <w:r>
        <w:rPr>
          <w:rFonts w:ascii="仿宋_GB2312" w:hAnsi="仿宋_GB2312" w:eastAsia="仿宋_GB2312"/>
          <w:b w:val="0"/>
          <w:color w:val="000000"/>
          <w:sz w:val="32"/>
        </w:rPr>
        <w:t>从可获取信息看，公司偿债能力存在若干需要关注的点：一是资本实力有限，注册资本600万元且实缴仅120万至180万元，自有资本对债务的缓冲能力较弱；二是转型投入集中，2024年至2025年新建成品流水线形成了较大规模的固定资产投资，若以借款方式完成，则短期偿债压力较大；三是新品类客户体系尚在建立，销售回款的稳定性有待验证。</w:t>
      </w:r>
    </w:p>
    <w:p>
      <w:pPr>
        <w:spacing w:lineRule="exact" w:line="600" w:before="0" w:after="0"/>
        <w:ind w:firstLine="420"/>
        <w:jc w:val="both"/>
      </w:pPr>
      <w:r>
        <w:rPr>
          <w:rFonts w:ascii="仿宋_GB2312" w:hAnsi="仿宋_GB2312" w:eastAsia="仿宋_GB2312"/>
          <w:b w:val="0"/>
          <w:color w:val="000000"/>
          <w:sz w:val="32"/>
        </w:rPr>
        <w:t>在无法获取真实报表的情况下，建议通过以下方式穿透验证：一是调取近两年增值税纳税申报表（作为一般纳税人，申报数据可较好反映真实销售规模）与企业所得税汇算清缴报告；二是调取人民银行企业征信报告，掌握其在各金融机构的授信总量、用信余额、对外担保与还款记录；三是查询动产融资统一登记公示系统，确认新购设备是否已设定抵押或存在融资租赁登记；四是核查用电量数据，验证产能利用率与经营连续性。</w:t>
      </w:r>
    </w:p>
    <w:p>
      <w:pPr>
        <w:spacing w:lineRule="exact" w:line="600" w:before="120" w:after="120"/>
        <w:ind w:firstLine="420"/>
        <w:jc w:val="left"/>
      </w:pPr>
      <w:r>
        <w:rPr>
          <w:rFonts w:ascii="楷体_GB2312" w:hAnsi="楷体_GB2312" w:eastAsia="楷体_GB2312"/>
          <w:b w:val="0"/>
          <w:color w:val="000000"/>
          <w:sz w:val="32"/>
        </w:rPr>
        <w:t>（五）涉诉与信用风险信息</w:t>
      </w:r>
    </w:p>
    <w:p>
      <w:pPr>
        <w:spacing w:lineRule="exact" w:line="600" w:before="0" w:after="0"/>
        <w:ind w:firstLine="420"/>
        <w:jc w:val="both"/>
      </w:pPr>
      <w:r>
        <w:rPr>
          <w:rFonts w:ascii="仿宋_GB2312" w:hAnsi="仿宋_GB2312" w:eastAsia="仿宋_GB2312"/>
          <w:b w:val="0"/>
          <w:color w:val="000000"/>
          <w:sz w:val="32"/>
        </w:rPr>
        <w:t>据天眼查大数据统计，公司存在天眼风险信息44条、裁判文书3条、涉诉关系27条、开庭公告9条、立案信息2条。需要重点关注的是，对于一家注册资本仅600万元、员工约120人的小微企业而言，27条涉诉关系与9条开庭公告属于偏高水平——作为对比，同集群规模远大于其的金冠网具涉诉关系为12条、开庭公告3条。</w:t>
      </w:r>
    </w:p>
    <w:p>
      <w:pPr>
        <w:spacing w:lineRule="exact" w:line="600" w:before="0" w:after="0"/>
        <w:ind w:firstLine="420"/>
        <w:jc w:val="both"/>
      </w:pPr>
      <w:r>
        <w:rPr>
          <w:rFonts w:ascii="仿宋_GB2312" w:hAnsi="仿宋_GB2312" w:eastAsia="仿宋_GB2312"/>
          <w:b w:val="0"/>
          <w:color w:val="000000"/>
          <w:sz w:val="32"/>
        </w:rPr>
        <w:t>涉诉活跃度偏高可能反映以下问题之一或多项：与客户之间的货款结算纠纷频发；与供应商之间的采购合同履约争议；劳动争议案件较多；或存在民间借贷等融资纠纷。建议在授信审查中逐案调阅裁判文书与立案信息，明确诉讼地位（原告或被告）、案由、标的金额、判决结果与执行情况，并核查是否存在被列为被执行人、失信被执行人、限制高消费等严重负面记录。这是本客户最需要优先核实的风险点。</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一人有限责任公司（自然人独资），法定代表人付曙光同时为企业对外经营的主要联系人（B2B平台联系人信息显示其身份为"经理"）。这种"股东—法定代表人—业务负责人"三位一体的结构，在小微企业中极为普遍，优点是决策链条最短、执行效率最高，2024年7月决策转型、2025年2月即实现投产就是这种结构的效率体现；缺点是企业经营高度依赖单一自然人，存在明显的关键人风险，且缺乏任何内部制衡与专业化分工。</w:t>
      </w:r>
    </w:p>
    <w:p>
      <w:pPr>
        <w:spacing w:lineRule="exact" w:line="600" w:before="0" w:after="0"/>
        <w:ind w:firstLine="420"/>
        <w:jc w:val="both"/>
      </w:pPr>
      <w:r>
        <w:rPr>
          <w:rFonts w:ascii="仿宋_GB2312" w:hAnsi="仿宋_GB2312" w:eastAsia="仿宋_GB2312"/>
          <w:b w:val="0"/>
          <w:color w:val="000000"/>
          <w:sz w:val="32"/>
        </w:rPr>
        <w:t>基于此，在授信业务中应当：要求提供经审计的年度财务会计报告以核查财务独立性；要求实际控制人及其配偶提供连带责任保证；核查实际控制人个人征信、涉诉与被执行情况；并将实际控制人发生重大变故列为提前收贷的触发条件之一。</w:t>
      </w:r>
    </w:p>
    <w:p>
      <w:pPr>
        <w:spacing w:lineRule="exact" w:line="600" w:before="120" w:after="120"/>
        <w:ind w:firstLine="420"/>
        <w:jc w:val="left"/>
      </w:pPr>
      <w:r>
        <w:rPr>
          <w:rFonts w:ascii="楷体_GB2312" w:hAnsi="楷体_GB2312" w:eastAsia="楷体_GB2312"/>
          <w:b w:val="0"/>
          <w:color w:val="000000"/>
          <w:sz w:val="32"/>
        </w:rPr>
        <w:t>（二）经营管理体系</w:t>
      </w:r>
    </w:p>
    <w:p>
      <w:pPr>
        <w:spacing w:lineRule="exact" w:line="600" w:before="0" w:after="0"/>
        <w:ind w:firstLine="420"/>
        <w:jc w:val="both"/>
      </w:pPr>
      <w:r>
        <w:rPr>
          <w:rFonts w:ascii="仿宋_GB2312" w:hAnsi="仿宋_GB2312" w:eastAsia="仿宋_GB2312"/>
          <w:b w:val="0"/>
          <w:color w:val="000000"/>
          <w:sz w:val="32"/>
        </w:rPr>
        <w:t>公司提出"质量兴企，争创名牌"的经营理念，以及"生产智能化、产品高端化、市场国际化"的战略布局，自述"以先进的工艺技术和健全的质量管理体系，确保产品质量稳定"。但公开信息中未见其ISO9001质量管理体系认证、环境管理体系认证、职业健康安全管理体系认证等第三方认证的披露，也未见高新技术企业、专精特新等资质的认定信息。相较同集群的金冠网具（高新技术企业、省级企业技术中心）与安惠绳网（三体系认证、CCC认证、省级博士后创新实践基地），公司在管理体系认证与资质荣誉方面存在明显差距。</w:t>
      </w:r>
    </w:p>
    <w:p>
      <w:pPr>
        <w:spacing w:lineRule="exact" w:line="600" w:before="0" w:after="0"/>
        <w:ind w:firstLine="420"/>
        <w:jc w:val="both"/>
      </w:pPr>
      <w:r>
        <w:rPr>
          <w:rFonts w:ascii="仿宋_GB2312" w:hAnsi="仿宋_GB2312" w:eastAsia="仿宋_GB2312"/>
          <w:b w:val="0"/>
          <w:color w:val="000000"/>
          <w:sz w:val="32"/>
        </w:rPr>
        <w:t>对于向汽车篷布这一相对更强调质量一致性与批次稳定性的品类转型的企业而言，尽快取得ISO9001等体系认证，不仅是管理规范化的标志，也是进入货车主机厂、大型物流企业等优质客户供应链的必要条件。建议将此列为企业近期最优先的管理改进事项。</w:t>
      </w:r>
    </w:p>
    <w:p>
      <w:pPr>
        <w:spacing w:lineRule="exact" w:line="600" w:before="120" w:after="120"/>
        <w:ind w:firstLine="420"/>
        <w:jc w:val="left"/>
      </w:pPr>
      <w:r>
        <w:rPr>
          <w:rFonts w:ascii="楷体_GB2312" w:hAnsi="楷体_GB2312" w:eastAsia="楷体_GB2312"/>
          <w:b w:val="0"/>
          <w:color w:val="000000"/>
          <w:sz w:val="32"/>
        </w:rPr>
        <w:t>（三）人力资源状况</w:t>
      </w:r>
    </w:p>
    <w:p>
      <w:pPr>
        <w:spacing w:lineRule="exact" w:line="600" w:before="0" w:after="0"/>
        <w:ind w:firstLine="420"/>
        <w:jc w:val="both"/>
      </w:pPr>
      <w:r>
        <w:rPr>
          <w:rFonts w:ascii="仿宋_GB2312" w:hAnsi="仿宋_GB2312" w:eastAsia="仿宋_GB2312"/>
          <w:b w:val="0"/>
          <w:color w:val="000000"/>
          <w:sz w:val="32"/>
        </w:rPr>
        <w:t>公司从业人数约120人（企业自述口径），另有B2B平台"11—50人"的填报口径。人员结构以生产操作工、缝制工、业务员为主。作为一家位于县域乡镇工业园区的小微制造企业，公司在技术研发人员、质量管理人员、品牌营销人员等专业岗位上的配置很可能较为薄弱，这与其缺乏体系认证、品牌新创的现状相互印证。</w:t>
      </w:r>
    </w:p>
    <w:p>
      <w:pPr>
        <w:spacing w:lineRule="exact" w:line="600" w:before="0" w:after="0"/>
        <w:ind w:firstLine="420"/>
        <w:jc w:val="both"/>
      </w:pPr>
      <w:r>
        <w:rPr>
          <w:rFonts w:ascii="仿宋_GB2312" w:hAnsi="仿宋_GB2312" w:eastAsia="仿宋_GB2312"/>
          <w:b w:val="0"/>
          <w:color w:val="000000"/>
          <w:sz w:val="32"/>
        </w:rPr>
        <w:t>公司自述拥有10项至13项自主专利技术，天眼查统计专利27条、著作权4条，说明其确有一定的技术开发投入与人员配置。但对于转型期企业而言，研发力量的持续性与产业化转化能力更为关键，建议在尽调中核实研发人员数量、学历结构、研发费用投入及其加计扣除申报情况。</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（一）转型先发优势</w:t>
      </w:r>
    </w:p>
    <w:p>
      <w:pPr>
        <w:spacing w:lineRule="exact" w:line="600" w:before="0" w:after="0"/>
        <w:ind w:firstLine="420"/>
        <w:jc w:val="both"/>
      </w:pPr>
      <w:r>
        <w:rPr>
          <w:rFonts w:ascii="仿宋_GB2312" w:hAnsi="仿宋_GB2312" w:eastAsia="仿宋_GB2312"/>
          <w:b w:val="0"/>
          <w:color w:val="000000"/>
          <w:sz w:val="32"/>
        </w:rPr>
        <w:t>公司最核心的竞争力在于成为滨州市首家拥有从生产到深加工成品完整流水线的车篷布企业。在惠民绳网集群普遍面临同质化竞争的背景下，主动跳出安全网、防尘网红海赛道，进入客户重叠度低、附加值更高的汽车篷布领域，这一战略选择本身即体现了经营者的市场敏感度与决策魄力。在区域市场内，这一先发优势可为公司带来2至3年的相对宽松的竞争窗口。</w:t>
      </w:r>
    </w:p>
    <w:p>
      <w:pPr>
        <w:spacing w:lineRule="exact" w:line="600" w:before="120" w:after="120"/>
        <w:ind w:firstLine="420"/>
        <w:jc w:val="left"/>
      </w:pPr>
      <w:r>
        <w:rPr>
          <w:rFonts w:ascii="楷体_GB2312" w:hAnsi="楷体_GB2312" w:eastAsia="楷体_GB2312"/>
          <w:b w:val="0"/>
          <w:color w:val="000000"/>
          <w:sz w:val="32"/>
        </w:rPr>
        <w:t>（二）工艺基础与产业配套</w:t>
      </w:r>
    </w:p>
    <w:p>
      <w:pPr>
        <w:spacing w:lineRule="exact" w:line="600" w:before="0" w:after="0"/>
        <w:ind w:firstLine="420"/>
        <w:jc w:val="both"/>
      </w:pPr>
      <w:r>
        <w:rPr>
          <w:rFonts w:ascii="仿宋_GB2312" w:hAnsi="仿宋_GB2312" w:eastAsia="仿宋_GB2312"/>
          <w:b w:val="0"/>
          <w:color w:val="000000"/>
          <w:sz w:val="32"/>
        </w:rPr>
        <w:t>公司深耕安全网、防尘网15年，积累了化纤加工、涂覆整理、裁切缝制等基础工艺能力与熟练工队伍，这是其能够快速完成转型的技术底座。同时，地处惠民绳网集群核心区域，在原料采购、设备维修、物流配送、用工招募等方面可共享集群配套，综合成本低于在非产业集聚区独立运营的同类企业。</w:t>
      </w:r>
    </w:p>
    <w:p>
      <w:pPr>
        <w:spacing w:lineRule="exact" w:line="600" w:before="120" w:after="120"/>
        <w:ind w:firstLine="420"/>
        <w:jc w:val="left"/>
      </w:pPr>
      <w:r>
        <w:rPr>
          <w:rFonts w:ascii="楷体_GB2312" w:hAnsi="楷体_GB2312" w:eastAsia="楷体_GB2312"/>
          <w:b w:val="0"/>
          <w:color w:val="000000"/>
          <w:sz w:val="32"/>
        </w:rPr>
        <w:t>（三）成品化能力与附加值</w:t>
      </w:r>
    </w:p>
    <w:p>
      <w:pPr>
        <w:spacing w:lineRule="exact" w:line="600" w:before="0" w:after="0"/>
        <w:ind w:firstLine="420"/>
        <w:jc w:val="both"/>
      </w:pPr>
      <w:r>
        <w:rPr>
          <w:rFonts w:ascii="仿宋_GB2312" w:hAnsi="仿宋_GB2312" w:eastAsia="仿宋_GB2312"/>
          <w:b w:val="0"/>
          <w:color w:val="000000"/>
          <w:sz w:val="32"/>
        </w:rPr>
        <w:t>"从生产到深加工成品"的一体化流水线，使公司能够直接向终端用户交付按车型定制的成品篷布，而非仅销售基布半成品。这一能力带来三重价值：一是获取基布制造与成品加工两段利润；二是可承接定制化订单，提高客户粘性；三是缩短交付链条，响应速度快于"基布厂+加工厂"的两段式模式。</w:t>
      </w:r>
    </w:p>
    <w:p>
      <w:pPr>
        <w:spacing w:lineRule="exact" w:line="600" w:before="120" w:after="120"/>
        <w:ind w:firstLine="420"/>
        <w:jc w:val="left"/>
      </w:pPr>
      <w:r>
        <w:rPr>
          <w:rFonts w:ascii="楷体_GB2312" w:hAnsi="楷体_GB2312" w:eastAsia="楷体_GB2312"/>
          <w:b w:val="0"/>
          <w:color w:val="000000"/>
          <w:sz w:val="32"/>
        </w:rPr>
        <w:t>（四）专利布局与功能化技术</w:t>
      </w:r>
    </w:p>
    <w:p>
      <w:pPr>
        <w:spacing w:lineRule="exact" w:line="600" w:before="0" w:after="0"/>
        <w:ind w:firstLine="420"/>
        <w:jc w:val="both"/>
      </w:pPr>
      <w:r>
        <w:rPr>
          <w:rFonts w:ascii="仿宋_GB2312" w:hAnsi="仿宋_GB2312" w:eastAsia="仿宋_GB2312"/>
          <w:b w:val="0"/>
          <w:color w:val="000000"/>
          <w:sz w:val="32"/>
        </w:rPr>
        <w:t>公司围绕防尘、防水、防晒、抗氧化等功能形成10项以上自主专利技术，技术方向精准对应汽车篷布长期户外使用的核心痛点。在货运行业日益重视货物安全与篷布使用寿命的趋势下，功能化技术是形成产品差异化与价格溢价的关键。</w:t>
      </w:r>
    </w:p>
    <w:p>
      <w:pPr>
        <w:spacing w:lineRule="exact" w:line="600" w:before="120" w:after="120"/>
        <w:ind w:firstLine="420"/>
        <w:jc w:val="left"/>
      </w:pPr>
      <w:r>
        <w:rPr>
          <w:rFonts w:ascii="楷体_GB2312" w:hAnsi="楷体_GB2312" w:eastAsia="楷体_GB2312"/>
          <w:b w:val="0"/>
          <w:color w:val="000000"/>
          <w:sz w:val="32"/>
        </w:rPr>
        <w:t>（五）竞争劣势与短板</w:t>
      </w:r>
    </w:p>
    <w:p>
      <w:pPr>
        <w:spacing w:lineRule="exact" w:line="600" w:before="0" w:after="0"/>
        <w:ind w:firstLine="420"/>
        <w:jc w:val="both"/>
      </w:pPr>
      <w:r>
        <w:rPr>
          <w:rFonts w:ascii="仿宋_GB2312" w:hAnsi="仿宋_GB2312" w:eastAsia="仿宋_GB2312"/>
          <w:b w:val="0"/>
          <w:color w:val="000000"/>
          <w:sz w:val="32"/>
        </w:rPr>
        <w:t>一是资本实力薄弱。注册资本600万元、实缴仅120万至180万元，在完成转型投资后资金链的安全边际较为有限，抗风险能力弱。</w:t>
      </w:r>
    </w:p>
    <w:p>
      <w:pPr>
        <w:spacing w:lineRule="exact" w:line="600" w:before="0" w:after="0"/>
        <w:ind w:firstLine="420"/>
        <w:jc w:val="both"/>
      </w:pPr>
      <w:r>
        <w:rPr>
          <w:rFonts w:ascii="仿宋_GB2312" w:hAnsi="仿宋_GB2312" w:eastAsia="仿宋_GB2312"/>
          <w:b w:val="0"/>
          <w:color w:val="000000"/>
          <w:sz w:val="32"/>
        </w:rPr>
        <w:t>二是资质与体系认证缺失。未见ISO9001等管理体系认证、高新技术企业、专精特新等资质，限制了其进入大型企业供应链与参与政府采购的能力。</w:t>
      </w:r>
    </w:p>
    <w:p>
      <w:pPr>
        <w:spacing w:lineRule="exact" w:line="600" w:before="0" w:after="0"/>
        <w:ind w:firstLine="420"/>
        <w:jc w:val="both"/>
      </w:pPr>
      <w:r>
        <w:rPr>
          <w:rFonts w:ascii="仿宋_GB2312" w:hAnsi="仿宋_GB2312" w:eastAsia="仿宋_GB2312"/>
          <w:b w:val="0"/>
          <w:color w:val="000000"/>
          <w:sz w:val="32"/>
        </w:rPr>
        <w:t>三是涉诉活跃度偏高。涉诉关系27条、开庭公告9条、立案信息2条，相对其企业规模而言明显偏多，反映出经营过程中合同履约或款项结算存在较多摩擦，是评估其信用状况的关键负面因素。</w:t>
      </w:r>
    </w:p>
    <w:p>
      <w:pPr>
        <w:spacing w:lineRule="exact" w:line="600" w:before="0" w:after="0"/>
        <w:ind w:firstLine="420"/>
        <w:jc w:val="both"/>
      </w:pPr>
      <w:r>
        <w:rPr>
          <w:rFonts w:ascii="仿宋_GB2312" w:hAnsi="仿宋_GB2312" w:eastAsia="仿宋_GB2312"/>
          <w:b w:val="0"/>
          <w:color w:val="000000"/>
          <w:sz w:val="32"/>
        </w:rPr>
        <w:t>四是品牌与渠道从零起步。"龙翔篷布"为2024年新创品牌，在汽车篷布这一已有成熟产区（浙江海宁、江苏南通等）与知名品牌的市场中，建立认知需要持续的营销投入与较长的时间周期。</w:t>
      </w:r>
    </w:p>
    <w:p>
      <w:pPr>
        <w:spacing w:lineRule="exact" w:line="600" w:before="0" w:after="0"/>
        <w:ind w:firstLine="420"/>
        <w:jc w:val="both"/>
      </w:pPr>
      <w:r>
        <w:rPr>
          <w:rFonts w:ascii="仿宋_GB2312" w:hAnsi="仿宋_GB2312" w:eastAsia="仿宋_GB2312"/>
          <w:b w:val="0"/>
          <w:color w:val="000000"/>
          <w:sz w:val="32"/>
        </w:rPr>
        <w:t>五是转型效果尚未经过完整周期验证。2025年2月投产，产能爬坡、良品率、客户复购等关键指标均需至少一到两个完整年度方能验证，当前仍处于风险相对较高的观察期。</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（一）转型不确定性风险</w:t>
      </w:r>
    </w:p>
    <w:p>
      <w:pPr>
        <w:spacing w:lineRule="exact" w:line="600" w:before="0" w:after="0"/>
        <w:ind w:firstLine="420"/>
        <w:jc w:val="both"/>
      </w:pPr>
      <w:r>
        <w:rPr>
          <w:rFonts w:ascii="仿宋_GB2312" w:hAnsi="仿宋_GB2312" w:eastAsia="仿宋_GB2312"/>
          <w:b w:val="0"/>
          <w:color w:val="000000"/>
          <w:sz w:val="32"/>
        </w:rPr>
        <w:t>这是公司当前的首要风险。汽车篷布虽与原有业务工艺相通，但在产品标准、客户类型、销售渠道、品牌逻辑上均属全新领域。转型可能面临：产品性能无法达到目标客户要求；新客户开发不及预期导致产能闲置；前期投入的流水线折旧压力侵蚀利润；原有安全网、防尘网业务收缩而新业务尚未放量形成的收入断档。建议在授信审查中重点核查2025年至2026年的实际销售数据与产能利用率。</w:t>
      </w:r>
    </w:p>
    <w:p>
      <w:pPr>
        <w:spacing w:lineRule="exact" w:line="600" w:before="120" w:after="120"/>
        <w:ind w:firstLine="420"/>
        <w:jc w:val="left"/>
      </w:pPr>
      <w:r>
        <w:rPr>
          <w:rFonts w:ascii="楷体_GB2312" w:hAnsi="楷体_GB2312" w:eastAsia="楷体_GB2312"/>
          <w:b w:val="0"/>
          <w:color w:val="000000"/>
          <w:sz w:val="32"/>
        </w:rPr>
        <w:t>（二）涉诉与信用风险</w:t>
      </w:r>
    </w:p>
    <w:p>
      <w:pPr>
        <w:spacing w:lineRule="exact" w:line="600" w:before="0" w:after="0"/>
        <w:ind w:firstLine="420"/>
        <w:jc w:val="both"/>
      </w:pPr>
      <w:r>
        <w:rPr>
          <w:rFonts w:ascii="仿宋_GB2312" w:hAnsi="仿宋_GB2312" w:eastAsia="仿宋_GB2312"/>
          <w:b w:val="0"/>
          <w:color w:val="000000"/>
          <w:sz w:val="32"/>
        </w:rPr>
        <w:t>公司涉诉关系27条、开庭公告9条、裁判文书3条、立案信息2条，相对其小微企业的规模而言显著偏高。若其中存在公司作为被告的买卖合同纠纷、借款合同纠纷或劳动争议，则直接指向其履约能力与资金状况的问题。在业务准入前必须完成逐案核查，若发现被执行、失信等记录，应审慎甚至暂缓合作。</w:t>
      </w:r>
    </w:p>
    <w:p>
      <w:pPr>
        <w:spacing w:lineRule="exact" w:line="600" w:before="120" w:after="120"/>
        <w:ind w:firstLine="420"/>
        <w:jc w:val="left"/>
      </w:pPr>
      <w:r>
        <w:rPr>
          <w:rFonts w:ascii="楷体_GB2312" w:hAnsi="楷体_GB2312" w:eastAsia="楷体_GB2312"/>
          <w:b w:val="0"/>
          <w:color w:val="000000"/>
          <w:sz w:val="32"/>
        </w:rPr>
        <w:t>（三）资本与流动性风险</w:t>
      </w:r>
    </w:p>
    <w:p>
      <w:pPr>
        <w:spacing w:lineRule="exact" w:line="600" w:before="0" w:after="0"/>
        <w:ind w:firstLine="420"/>
        <w:jc w:val="both"/>
      </w:pPr>
      <w:r>
        <w:rPr>
          <w:rFonts w:ascii="仿宋_GB2312" w:hAnsi="仿宋_GB2312" w:eastAsia="仿宋_GB2312"/>
          <w:b w:val="0"/>
          <w:color w:val="000000"/>
          <w:sz w:val="32"/>
        </w:rPr>
        <w:t>注册资本600万元、实缴120万至180万元，自有资本极为有限，而2024年至2025年完成的流水线建设属于大额资本开支。若该投资主要依靠短期借款或民间融资完成，则存在"短贷长投"的期限错配风险，一旦销售回款不及预期或融资渠道收紧，极易引发流动性危机。</w:t>
      </w:r>
    </w:p>
    <w:p>
      <w:pPr>
        <w:spacing w:lineRule="exact" w:line="600" w:before="120" w:after="120"/>
        <w:ind w:firstLine="420"/>
        <w:jc w:val="left"/>
      </w:pPr>
      <w:r>
        <w:rPr>
          <w:rFonts w:ascii="楷体_GB2312" w:hAnsi="楷体_GB2312" w:eastAsia="楷体_GB2312"/>
          <w:b w:val="0"/>
          <w:color w:val="000000"/>
          <w:sz w:val="32"/>
        </w:rPr>
        <w:t>（四）原材料价格波动风险</w:t>
      </w:r>
    </w:p>
    <w:p>
      <w:pPr>
        <w:spacing w:lineRule="exact" w:line="600" w:before="0" w:after="0"/>
        <w:ind w:firstLine="420"/>
        <w:jc w:val="both"/>
      </w:pPr>
      <w:r>
        <w:rPr>
          <w:rFonts w:ascii="仿宋_GB2312" w:hAnsi="仿宋_GB2312" w:eastAsia="仿宋_GB2312"/>
          <w:b w:val="0"/>
          <w:color w:val="000000"/>
          <w:sz w:val="32"/>
        </w:rPr>
        <w:t>汽车篷布的主要原材料为涤纶或聚乙烯基布、PVC或PE涂层材料、增塑剂、抗紫外线助剂等，价格与国际原油及大宗化工品走势联动。公司体量较小、采购议价能力弱、无套期保值工具，在原材料价格快速上行时成本压力难以及时向下游传导。</w:t>
      </w:r>
    </w:p>
    <w:p>
      <w:pPr>
        <w:spacing w:lineRule="exact" w:line="600" w:before="120" w:after="120"/>
        <w:ind w:firstLine="420"/>
        <w:jc w:val="left"/>
      </w:pPr>
      <w:r>
        <w:rPr>
          <w:rFonts w:ascii="楷体_GB2312" w:hAnsi="楷体_GB2312" w:eastAsia="楷体_GB2312"/>
          <w:b w:val="0"/>
          <w:color w:val="000000"/>
          <w:sz w:val="32"/>
        </w:rPr>
        <w:t>（五）市场竞争风险</w:t>
      </w:r>
    </w:p>
    <w:p>
      <w:pPr>
        <w:spacing w:lineRule="exact" w:line="600" w:before="0" w:after="0"/>
        <w:ind w:firstLine="420"/>
        <w:jc w:val="both"/>
      </w:pPr>
      <w:r>
        <w:rPr>
          <w:rFonts w:ascii="仿宋_GB2312" w:hAnsi="仿宋_GB2312" w:eastAsia="仿宋_GB2312"/>
          <w:b w:val="0"/>
          <w:color w:val="000000"/>
          <w:sz w:val="32"/>
        </w:rPr>
        <w:t>汽车篷布行业在浙江海宁、江苏南通等地已形成成熟产业集群，在刀刮布、PVC涂层布等细分品类上技术成熟、规模效应显著。公司作为新进入者，"全市首家"的优势仅限于滨州区域，在全国市场仍需面对成熟对手的直接竞争。同时，若本地同行看到转型示范效应而快速跟进，区域先发优势将迅速被稀释。</w:t>
      </w:r>
    </w:p>
    <w:p>
      <w:pPr>
        <w:spacing w:lineRule="exact" w:line="600" w:before="120" w:after="120"/>
        <w:ind w:firstLine="420"/>
        <w:jc w:val="left"/>
      </w:pPr>
      <w:r>
        <w:rPr>
          <w:rFonts w:ascii="楷体_GB2312" w:hAnsi="楷体_GB2312" w:eastAsia="楷体_GB2312"/>
          <w:b w:val="0"/>
          <w:color w:val="000000"/>
          <w:sz w:val="32"/>
        </w:rPr>
        <w:t>（六）资质合规风险</w:t>
      </w:r>
    </w:p>
    <w:p>
      <w:pPr>
        <w:spacing w:lineRule="exact" w:line="600" w:before="0" w:after="0"/>
        <w:ind w:firstLine="420"/>
        <w:jc w:val="both"/>
      </w:pPr>
      <w:r>
        <w:rPr>
          <w:rFonts w:ascii="仿宋_GB2312" w:hAnsi="仿宋_GB2312" w:eastAsia="仿宋_GB2312"/>
          <w:b w:val="0"/>
          <w:color w:val="000000"/>
          <w:sz w:val="32"/>
        </w:rPr>
        <w:t>公司缺乏ISO9001等管理体系认证，在进入大型客户供应链时将面临准入障碍。此外，涂覆工序涉及有机溶剂与挥发性有机物排放，属环保重点监管环节；篷布生产车间存在易燃材料集中堆放的消防风险。建议实地核查排污许可、环评批复、消防验收等合规文件的有效性。</w:t>
      </w:r>
    </w:p>
    <w:p>
      <w:pPr>
        <w:spacing w:lineRule="exact" w:line="600" w:before="120" w:after="120"/>
        <w:ind w:firstLine="420"/>
        <w:jc w:val="left"/>
      </w:pPr>
      <w:r>
        <w:rPr>
          <w:rFonts w:ascii="楷体_GB2312" w:hAnsi="楷体_GB2312" w:eastAsia="楷体_GB2312"/>
          <w:b w:val="0"/>
          <w:color w:val="000000"/>
          <w:sz w:val="32"/>
        </w:rPr>
        <w:t>（七）关键人依赖风险</w:t>
      </w:r>
    </w:p>
    <w:p>
      <w:pPr>
        <w:spacing w:lineRule="exact" w:line="600" w:before="0" w:after="0"/>
        <w:ind w:firstLine="420"/>
        <w:jc w:val="both"/>
      </w:pPr>
      <w:r>
        <w:rPr>
          <w:rFonts w:ascii="仿宋_GB2312" w:hAnsi="仿宋_GB2312" w:eastAsia="仿宋_GB2312"/>
          <w:b w:val="0"/>
          <w:color w:val="000000"/>
          <w:sz w:val="32"/>
        </w:rPr>
        <w:t>公司为一人有限责任公司，实际控制人付曙光同时承担股东、法定代表人与业务负责人角色，企业的战略决策、客户关系、融资安排高度集中于单一自然人。一旦实际控制人发生健康、法律或信用方面的重大变故，企业经营将面临实质性中断。</w:t>
      </w:r>
    </w:p>
    <w:p>
      <w:pPr>
        <w:spacing w:lineRule="exact" w:line="600" w:before="120" w:after="120"/>
        <w:ind w:firstLine="420"/>
        <w:jc w:val="left"/>
      </w:pPr>
      <w:r>
        <w:rPr>
          <w:rFonts w:ascii="楷体_GB2312" w:hAnsi="楷体_GB2312" w:eastAsia="楷体_GB2312"/>
          <w:b w:val="0"/>
          <w:color w:val="000000"/>
          <w:sz w:val="32"/>
        </w:rPr>
        <w:t>（八）信息披露与数据可信度风险</w:t>
      </w:r>
    </w:p>
    <w:p>
      <w:pPr>
        <w:spacing w:lineRule="exact" w:line="600" w:before="0" w:after="0"/>
        <w:ind w:firstLine="420"/>
        <w:jc w:val="both"/>
      </w:pPr>
      <w:r>
        <w:rPr>
          <w:rFonts w:ascii="仿宋_GB2312" w:hAnsi="仿宋_GB2312" w:eastAsia="仿宋_GB2312"/>
          <w:b w:val="0"/>
          <w:color w:val="000000"/>
          <w:sz w:val="32"/>
        </w:rPr>
        <w:t>公司在不同渠道披露的员工人数（120人／11—50人）、专利数量（10项／13项／27条）、实缴资本（180万元／120万元）、年营业额（50—100万元与6000吨产能严重矛盾）等关键信息存在明显的不一致甚至相互矛盾，反映出企业对外信息管理较为随意。这不仅影响金融机构的判断效率，也提示其内部数据管理与财务规范化水平可能较低，尽职调查必须以一手凭证为准。</w:t>
      </w:r>
    </w:p>
    <w:p>
      <w:pPr>
        <w:spacing w:lineRule="exact" w:line="600" w:before="120" w:after="120"/>
        <w:ind w:firstLine="420"/>
        <w:jc w:val="left"/>
      </w:pPr>
      <w:r>
        <w:rPr>
          <w:rFonts w:ascii="黑体" w:hAnsi="黑体" w:eastAsia="黑体"/>
          <w:b w:val="0"/>
          <w:color w:val="000000"/>
          <w:sz w:val="32"/>
        </w:rPr>
        <w:t>七、融资需求分析与山东投资业务协同建议</w:t>
      </w:r>
    </w:p>
    <w:p>
      <w:pPr>
        <w:spacing w:lineRule="exact" w:line="600" w:before="120" w:after="120"/>
        <w:ind w:firstLine="420"/>
        <w:jc w:val="left"/>
      </w:pPr>
      <w:r>
        <w:rPr>
          <w:rFonts w:ascii="楷体_GB2312" w:hAnsi="楷体_GB2312" w:eastAsia="楷体_GB2312"/>
          <w:b w:val="0"/>
          <w:color w:val="000000"/>
          <w:sz w:val="32"/>
        </w:rPr>
        <w:t>（一）企业融资需求的总体判断</w:t>
      </w:r>
    </w:p>
    <w:p>
      <w:pPr>
        <w:spacing w:lineRule="exact" w:line="600" w:before="0" w:after="0"/>
        <w:ind w:firstLine="420"/>
        <w:jc w:val="both"/>
      </w:pPr>
      <w:r>
        <w:rPr>
          <w:rFonts w:ascii="仿宋_GB2312" w:hAnsi="仿宋_GB2312" w:eastAsia="仿宋_GB2312"/>
          <w:b w:val="0"/>
          <w:color w:val="000000"/>
          <w:sz w:val="32"/>
        </w:rPr>
        <w:t>综合判断，公司融资需求呈现"转型期资本开支与营运资金双重承压"的特征。2024年7月启动汽车篷布转型、2025年2月正式投产，期间新建了从生产到深加工的完整成品流水线，形成了对于一家注册资本600万元的小微企业而言规模不小的固定资产投资；投产后，产能爬坡、原材料备货、新客户账期垫资又将持续消耗营运资金。与此同时，公司实缴资本仅120万至180万元，自有资本缓冲薄弱，涉诉关系27条、开庭公告9条显示其经营中已存在较多摩擦。总体而言，公司具备真实的融资需求和明确的资金用途，转型方向也具有产业逻辑；但其风险等级明显高于同集群的金冠网具与安惠绳网，业务介入应当坚持"小额、短期、强担保、严监控"的原则，并以涉诉情况的逐案核查结果作为准入的前置条件。</w:t>
      </w:r>
    </w:p>
    <w:p>
      <w:pPr>
        <w:spacing w:lineRule="exact" w:line="600" w:before="120" w:after="120"/>
        <w:ind w:firstLine="420"/>
        <w:jc w:val="left"/>
      </w:pPr>
      <w:r>
        <w:rPr>
          <w:rFonts w:ascii="楷体_GB2312" w:hAnsi="楷体_GB2312" w:eastAsia="楷体_GB2312"/>
          <w:b w:val="0"/>
          <w:color w:val="000000"/>
          <w:sz w:val="32"/>
        </w:rPr>
        <w:t>（二）商业保理业务切入建议</w:t>
      </w:r>
    </w:p>
    <w:p>
      <w:pPr>
        <w:spacing w:lineRule="exact" w:line="600" w:before="0" w:after="0"/>
        <w:ind w:firstLine="420"/>
        <w:jc w:val="both"/>
      </w:pPr>
      <w:r>
        <w:rPr>
          <w:rFonts w:ascii="仿宋_GB2312" w:hAnsi="仿宋_GB2312" w:eastAsia="仿宋_GB2312"/>
          <w:b w:val="0"/>
          <w:color w:val="000000"/>
          <w:sz w:val="32"/>
        </w:rPr>
        <w:t>商业保理可作为切入产品，但需审慎设计。公司转型后的下游客户主要为公路货运企业、货车经销商、汽车配件市场经营户等，这类主体信用等级参差、财务信息更不透明，应收账款质量明显弱于央企国企项下的债权。建议初期仅受理与规模较大、经营稳定的物流企业或整车、挂车生产企业之间形成的应收账款，严格采用有追索权保理，并设置较高的保证金比例。</w:t>
      </w:r>
    </w:p>
    <w:p>
      <w:pPr>
        <w:spacing w:lineRule="exact" w:line="600" w:before="0" w:after="0"/>
        <w:ind w:firstLine="420"/>
        <w:jc w:val="both"/>
      </w:pPr>
      <w:r>
        <w:rPr>
          <w:rFonts w:ascii="仿宋_GB2312" w:hAnsi="仿宋_GB2312" w:eastAsia="仿宋_GB2312"/>
          <w:b w:val="0"/>
          <w:color w:val="000000"/>
          <w:sz w:val="32"/>
        </w:rPr>
        <w:t>操作要点上，鉴于企业转型后的客户体系尚在重建、应收账款付款人资信参差，建议初期严格采用有追索权保理，并将单一付款人集中度控制在融资总额的三成以内。要求企业提供近两年销售台账、增值税发票、发货签收单与对账单，建立"合同—发票—物流—回款"四流合一的验证机制。对汽车篷布这一新品类，应重点核查下游客户（物流企业、货车经销商、汽车配件市场经营户）的经营稳定性与历史付款记录，必要时要求追加实际控制人连带责任保证与保证金安排。</w:t>
      </w:r>
    </w:p>
    <w:p>
      <w:pPr>
        <w:spacing w:lineRule="exact" w:line="600" w:before="120" w:after="120"/>
        <w:ind w:firstLine="420"/>
        <w:jc w:val="left"/>
      </w:pPr>
      <w:r>
        <w:rPr>
          <w:rFonts w:ascii="楷体_GB2312" w:hAnsi="楷体_GB2312" w:eastAsia="楷体_GB2312"/>
          <w:b w:val="0"/>
          <w:color w:val="000000"/>
          <w:sz w:val="32"/>
        </w:rPr>
        <w:t>（三）供应链金融业务切入建议</w:t>
      </w:r>
    </w:p>
    <w:p>
      <w:pPr>
        <w:spacing w:lineRule="exact" w:line="600" w:before="0" w:after="0"/>
        <w:ind w:firstLine="420"/>
        <w:jc w:val="both"/>
      </w:pPr>
      <w:r>
        <w:rPr>
          <w:rFonts w:ascii="仿宋_GB2312" w:hAnsi="仿宋_GB2312" w:eastAsia="仿宋_GB2312"/>
          <w:b w:val="0"/>
          <w:color w:val="000000"/>
          <w:sz w:val="32"/>
        </w:rPr>
        <w:t>供应链金融方面，公司自身体量偏小，不具备核心企业条件。更可行的路径是将其作为惠民绳网集群整体授信方案中的一个链上节点，通过园区白名单与标准化风控模型批量准入。</w:t>
      </w:r>
    </w:p>
    <w:p>
      <w:pPr>
        <w:spacing w:lineRule="exact" w:line="600" w:before="0" w:after="0"/>
        <w:ind w:firstLine="420"/>
        <w:jc w:val="both"/>
      </w:pPr>
      <w:r>
        <w:rPr>
          <w:rFonts w:ascii="仿宋_GB2312" w:hAnsi="仿宋_GB2312" w:eastAsia="仿宋_GB2312"/>
          <w:b w:val="0"/>
          <w:color w:val="000000"/>
          <w:sz w:val="32"/>
        </w:rPr>
        <w:t>建议采取"依托核心企业、服务链上小微"的思路。企业自身体量较小（注册资本600万元、从业人员约120人），难以独立承担核心企业角色，更适合作为惠民绳网集群整体授信方案中的一个链上节点。可通过与姜楼镇工业园区管委会、绳网产业新城管理服务中心合作，将其纳入园区白名单，以"批量准入、统一模型、分散额度"的方式提供标准化的订单融资与预付款融资服务。</w:t>
      </w:r>
    </w:p>
    <w:p>
      <w:pPr>
        <w:spacing w:lineRule="exact" w:line="600" w:before="120" w:after="120"/>
        <w:ind w:firstLine="420"/>
        <w:jc w:val="left"/>
      </w:pPr>
      <w:r>
        <w:rPr>
          <w:rFonts w:ascii="楷体_GB2312" w:hAnsi="楷体_GB2312" w:eastAsia="楷体_GB2312"/>
          <w:b w:val="0"/>
          <w:color w:val="000000"/>
          <w:sz w:val="32"/>
        </w:rPr>
        <w:t>（四）融资租赁业务切入建议</w:t>
      </w:r>
    </w:p>
    <w:p>
      <w:pPr>
        <w:spacing w:lineRule="exact" w:line="600" w:before="0" w:after="0"/>
        <w:ind w:firstLine="420"/>
        <w:jc w:val="both"/>
      </w:pPr>
      <w:r>
        <w:rPr>
          <w:rFonts w:ascii="仿宋_GB2312" w:hAnsi="仿宋_GB2312" w:eastAsia="仿宋_GB2312"/>
          <w:b w:val="0"/>
          <w:color w:val="000000"/>
          <w:sz w:val="32"/>
        </w:rPr>
        <w:t>融资租赁是与公司当前状态匹配度较高的产品。公司2024年至2025年新建的车篷布生产深加工流水线为近期新购设备，成新率高、技术不落后、二手处置价值相对有保障，适合开展售后回租，将已沉淀在固定资产中的资金重新释放为流动资金，缓解转型期的现金流压力。同时，相较于信用贷款，融资租赁以设备所有权作为风险缓释，更适合本客户这类涉诉较多、财务不透明的小微企业。</w:t>
      </w:r>
    </w:p>
    <w:p>
      <w:pPr>
        <w:spacing w:lineRule="exact" w:line="600" w:before="0" w:after="0"/>
        <w:ind w:firstLine="420"/>
        <w:jc w:val="both"/>
      </w:pPr>
      <w:r>
        <w:rPr>
          <w:rFonts w:ascii="仿宋_GB2312" w:hAnsi="仿宋_GB2312" w:eastAsia="仿宋_GB2312"/>
          <w:b w:val="0"/>
          <w:color w:val="000000"/>
          <w:sz w:val="32"/>
        </w:rPr>
        <w:t>融资租赁应重点关注租赁物的通用性与处置价值。企业2024年7月启动汽车篷布转型、2025年2月正式投产，新建了从生产到深加工的成品流水线，设备为近年新购，成新率高、残值保障相对充分，适合开展售后回租以盘活资金。对涂覆复合生产线、高频热合设备、自动裁切与缝制设备等通用性较强的装备，可采用直租或售后回租，租期建议三年，首付比例宜适当提高（建议不低于三成），并要求实际控制人提供连带责任保证。</w:t>
      </w:r>
    </w:p>
    <w:p>
      <w:pPr>
        <w:spacing w:lineRule="exact" w:line="600" w:before="120" w:after="120"/>
        <w:ind w:firstLine="420"/>
        <w:jc w:val="left"/>
      </w:pPr>
      <w:r>
        <w:rPr>
          <w:rFonts w:ascii="楷体_GB2312" w:hAnsi="楷体_GB2312" w:eastAsia="楷体_GB2312"/>
          <w:b w:val="0"/>
          <w:color w:val="000000"/>
          <w:sz w:val="32"/>
        </w:rPr>
        <w:t>（五）小额贷款业务切入建议</w:t>
      </w:r>
    </w:p>
    <w:p>
      <w:pPr>
        <w:spacing w:lineRule="exact" w:line="600" w:before="0" w:after="0"/>
        <w:ind w:firstLine="420"/>
        <w:jc w:val="both"/>
      </w:pPr>
      <w:r>
        <w:rPr>
          <w:rFonts w:ascii="仿宋_GB2312" w:hAnsi="仿宋_GB2312" w:eastAsia="仿宋_GB2312"/>
          <w:b w:val="0"/>
          <w:color w:val="000000"/>
          <w:sz w:val="32"/>
        </w:rPr>
        <w:t>小额贷款可作为补充产品，服务其原材料集中采购、旺季订单赶工等短期资金需求。但鉴于公司涉诉活跃、实缴资本偏低，应严格控制额度与期限，并强化还款来源的封闭管理。</w:t>
      </w:r>
    </w:p>
    <w:p>
      <w:pPr>
        <w:spacing w:lineRule="exact" w:line="600" w:before="0" w:after="0"/>
        <w:ind w:firstLine="420"/>
        <w:jc w:val="both"/>
      </w:pPr>
      <w:r>
        <w:rPr>
          <w:rFonts w:ascii="仿宋_GB2312" w:hAnsi="仿宋_GB2312" w:eastAsia="仿宋_GB2312"/>
          <w:b w:val="0"/>
          <w:color w:val="000000"/>
          <w:sz w:val="32"/>
        </w:rPr>
        <w:t>考虑到企业规模、涉诉情况与转型期的不确定性，小额贷款是当前风险收益较为匹配的产品形态。建议单户额度控制在一百万元至五百万元区间，期限以六个月至一年为主，采用"信用+实际控制人保证+订单质押"的组合增信方式，并将回款账户纳入监管，按销售回款进度设置分期还款计划，避免一次性到期还本带来的集中兑付压力。</w:t>
      </w:r>
    </w:p>
    <w:p>
      <w:pPr>
        <w:spacing w:lineRule="exact" w:line="600" w:before="120" w:after="120"/>
        <w:ind w:firstLine="420"/>
        <w:jc w:val="left"/>
      </w:pPr>
      <w:r>
        <w:rPr>
          <w:rFonts w:ascii="楷体_GB2312" w:hAnsi="楷体_GB2312" w:eastAsia="楷体_GB2312"/>
          <w:b w:val="0"/>
          <w:color w:val="000000"/>
          <w:sz w:val="32"/>
        </w:rPr>
        <w:t>（六）综合服务与风险控制建议</w:t>
      </w:r>
    </w:p>
    <w:p>
      <w:pPr>
        <w:spacing w:lineRule="exact" w:line="600" w:before="0" w:after="0"/>
        <w:ind w:firstLine="420"/>
        <w:jc w:val="both"/>
      </w:pPr>
      <w:r>
        <w:rPr>
          <w:rFonts w:ascii="仿宋_GB2312" w:hAnsi="仿宋_GB2312" w:eastAsia="仿宋_GB2312"/>
          <w:b w:val="0"/>
          <w:color w:val="000000"/>
          <w:sz w:val="32"/>
        </w:rPr>
        <w:t>风险控制方面，建议将本客户列为"审慎准入、强化监控"类别，构建"涉诉核查前置+设备物权保障+回款封闭管理"三重防线。第一，涉诉核查前置。在任何业务受理前，必须完成对27条涉诉关系、9条开庭公告、3份裁判文书、2条立案信息的逐案调阅与分析，明确公司在各案中的诉讼地位、标的金额与执行结果；若存在被执行、失信被执行、限制高消费或大额未决债务，应暂缓合作。第二，物权保障优先。优先选择融资租赁等以设备所有权为保障的产品形态，避免纯信用敞口；若开展保理或贷款业务，应要求实际控制人及其配偶提供连带责任保证，并视情况追加厂房或设备抵押。第三，回款封闭管理。要求开立专用回款账户并纳入监管，按销售回款进度分期归还，避免资金挪用。此外，应设置严格的动态预警指标，包括新增涉诉与被执行信息、用电量异常下降、主要客户流失、实际控制人个人征信恶化等，一旦触发立即启动风险处置程序。</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滨州腾龙化纤绳网有限公司（批次名单简称"山东腾龙化纤绳网有限公司"）是山东滨州惠民（绳网）特色产业集群中以"细分品类创新"实现突围的中小企业代表。公司成立于2009年，位于惠民县姜楼镇工业园区，深耕安全网、防尘网15年后，于2024年7月主动启动汽车篷布转型，2025年2月正式投产，建成滨州市首条从生产到深加工成品的车篷布完整流水线，创建"龙翔篷布"品牌，并围绕防尘、防水、防晒、抗氧化形成10项以上自主专利技术。其转型路径具有清晰的产业逻辑与工艺可行性，是集群由同质化竞争走向差异化发展的典型样本，具有一定的示范意义。</w:t>
      </w:r>
    </w:p>
    <w:p>
      <w:pPr>
        <w:spacing w:lineRule="exact" w:line="600" w:before="0" w:after="0"/>
        <w:ind w:firstLine="420"/>
        <w:jc w:val="both"/>
      </w:pPr>
      <w:r>
        <w:rPr>
          <w:rFonts w:ascii="仿宋_GB2312" w:hAnsi="仿宋_GB2312" w:eastAsia="仿宋_GB2312"/>
          <w:b w:val="0"/>
          <w:color w:val="000000"/>
          <w:sz w:val="32"/>
        </w:rPr>
        <w:t>但从金融机构的视角客观评价，本客户的风险水平明显高于同集群的金冠网具与安惠绳网，主要体现在五个方面：一是资本实力薄弱，注册资本600万元而实缴仅120万至180万元；二是涉诉活跃度偏高，涉诉关系27条、开庭公告9条、立案信息2条，与其小微规模严重不匹配；三是缺乏ISO9001等管理体系认证与高新技术企业等资质，管理规范化水平相对滞后；四是转型刚刚起步，效果尚未经过完整年度周期验证；五是对外披露信息前后矛盾，数据可信度较低。综合评价为：转型方向可取，但主体资质与信用状况存在明显短板，属于需要审慎准入、强化监控的观察类客户。</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短期看（1至2年），公司的核心任务是完成汽车篷布业务的产能爬坡与客户积累。关键观察指标包括：2026年度汽车篷布销售收入及其占总收入的比重；产能利用率能否达到设计产能的五成以上；是否形成若干稳定复购的核心客户；以及涉诉情况是否得到有效控制。若上述指标表现良好，则转型可初步判定为成功。</w:t>
      </w:r>
    </w:p>
    <w:p>
      <w:pPr>
        <w:spacing w:lineRule="exact" w:line="600" w:before="0" w:after="0"/>
        <w:ind w:firstLine="420"/>
        <w:jc w:val="both"/>
      </w:pPr>
      <w:r>
        <w:rPr>
          <w:rFonts w:ascii="仿宋_GB2312" w:hAnsi="仿宋_GB2312" w:eastAsia="仿宋_GB2312"/>
          <w:b w:val="0"/>
          <w:color w:val="000000"/>
          <w:sz w:val="32"/>
        </w:rPr>
        <w:t>中期看（3至5年），公司的成长空间取决于三个变量：一是能否取得ISO9001等体系认证并进入整车、挂车企业或大型物流企业的供应链，实现客户结构由零散市场向优质大客户升级；二是"龙翔篷布"品牌能否在货运行业建立认知；三是能否借助惠民县跨境电商与外贸转型升级基地的基础设施，开拓东南亚、中亚、非洲等公路运输发达地区的出口市场。</w:t>
      </w:r>
    </w:p>
    <w:p>
      <w:pPr>
        <w:spacing w:lineRule="exact" w:line="600" w:before="0" w:after="0"/>
        <w:ind w:firstLine="420"/>
        <w:jc w:val="both"/>
      </w:pPr>
      <w:r>
        <w:rPr>
          <w:rFonts w:ascii="仿宋_GB2312" w:hAnsi="仿宋_GB2312" w:eastAsia="仿宋_GB2312"/>
          <w:b w:val="0"/>
          <w:color w:val="000000"/>
          <w:sz w:val="32"/>
        </w:rPr>
        <w:t>长期看，公司若能持续在功能化涂层材料、轻量化高强度篷布、智能感知篷布（如集成温湿度监测、防盗报警）等方向深化技术积累，有望从"篷布制造商"升级为"运输安全与货物防护解决方案提供商"，实现价值链的实质性跃升。但这需要远超当前资本实力与人才储备的持续投入，现实可行性有待观察。</w:t>
      </w:r>
    </w:p>
    <w:p>
      <w:pPr>
        <w:spacing w:lineRule="exact" w:line="600" w:before="120" w:after="120"/>
        <w:ind w:firstLine="420"/>
        <w:jc w:val="left"/>
      </w:pPr>
      <w:r>
        <w:rPr>
          <w:rFonts w:ascii="楷体_GB2312" w:hAnsi="楷体_GB2312" w:eastAsia="楷体_GB2312"/>
          <w:b w:val="0"/>
          <w:color w:val="000000"/>
          <w:sz w:val="32"/>
        </w:rPr>
        <w:t>（三）对企业的发展建议</w:t>
      </w:r>
    </w:p>
    <w:p>
      <w:pPr>
        <w:spacing w:lineRule="exact" w:line="600" w:before="0" w:after="0"/>
        <w:ind w:firstLine="420"/>
        <w:jc w:val="both"/>
      </w:pPr>
      <w:r>
        <w:rPr>
          <w:rFonts w:ascii="仿宋_GB2312" w:hAnsi="仿宋_GB2312" w:eastAsia="仿宋_GB2312"/>
          <w:b w:val="0"/>
          <w:color w:val="000000"/>
          <w:sz w:val="32"/>
        </w:rPr>
        <w:t>第一，优先化解涉诉问题。建议企业系统梳理现存的27条涉诉关系与9条开庭公告，通过和解、调解等方式尽快结案，并建立规范的合同管理与应收账款催收制度，从源头减少纠纷。涉诉记录是当前制约其获取金融支持的最大障碍。</w:t>
      </w:r>
    </w:p>
    <w:p>
      <w:pPr>
        <w:spacing w:lineRule="exact" w:line="600" w:before="0" w:after="0"/>
        <w:ind w:firstLine="420"/>
        <w:jc w:val="both"/>
      </w:pPr>
      <w:r>
        <w:rPr>
          <w:rFonts w:ascii="仿宋_GB2312" w:hAnsi="仿宋_GB2312" w:eastAsia="仿宋_GB2312"/>
          <w:b w:val="0"/>
          <w:color w:val="000000"/>
          <w:sz w:val="32"/>
        </w:rPr>
        <w:t>第二，尽快取得管理体系认证。建议在一年内完成ISO9001质量管理体系认证，条件成熟时进一步申请环境管理体系与职业健康安全管理体系认证，为进入大客户供应链扫清准入障碍。</w:t>
      </w:r>
    </w:p>
    <w:p>
      <w:pPr>
        <w:spacing w:lineRule="exact" w:line="600" w:before="0" w:after="0"/>
        <w:ind w:firstLine="420"/>
        <w:jc w:val="both"/>
      </w:pPr>
      <w:r>
        <w:rPr>
          <w:rFonts w:ascii="仿宋_GB2312" w:hAnsi="仿宋_GB2312" w:eastAsia="仿宋_GB2312"/>
          <w:b w:val="0"/>
          <w:color w:val="000000"/>
          <w:sz w:val="32"/>
        </w:rPr>
        <w:t>第三，推进财务规范化并增资。建议建立规范的财务核算体系，委托会计师事务所开展年度审计；同时考虑由股东追加实缴出资或引入战略投资者，将实缴资本提升至与经营规模相匹配的水平，增强抗风险能力与融资信用。</w:t>
      </w:r>
    </w:p>
    <w:p>
      <w:pPr>
        <w:spacing w:lineRule="exact" w:line="600" w:before="0" w:after="0"/>
        <w:ind w:firstLine="420"/>
        <w:jc w:val="both"/>
      </w:pPr>
      <w:r>
        <w:rPr>
          <w:rFonts w:ascii="仿宋_GB2312" w:hAnsi="仿宋_GB2312" w:eastAsia="仿宋_GB2312"/>
          <w:b w:val="0"/>
          <w:color w:val="000000"/>
          <w:sz w:val="32"/>
        </w:rPr>
        <w:t>第四，统一对外信息披露口径。建议清理各B2B平台与网络渠道上陈旧、矛盾的企业信息，统一员工人数、产能、专利数量、营业规模等关键数据的表述，树立规范、可信的企业形象。</w:t>
      </w:r>
    </w:p>
    <w:p>
      <w:pPr>
        <w:spacing w:lineRule="exact" w:line="600" w:before="0" w:after="0"/>
        <w:ind w:firstLine="420"/>
        <w:jc w:val="both"/>
      </w:pPr>
      <w:r>
        <w:rPr>
          <w:rFonts w:ascii="仿宋_GB2312" w:hAnsi="仿宋_GB2312" w:eastAsia="仿宋_GB2312"/>
          <w:b w:val="0"/>
          <w:color w:val="000000"/>
          <w:sz w:val="32"/>
        </w:rPr>
        <w:t>第五，申报专精特新等资质。公司在车篷布细分领域具备"全市首家"的技术特色与专利积累，符合专精特新中小企业的培育方向。建议借助惠民县行政审批分中心"审批管家""帮办代办"服务与县工信部门的政策辅导，争取认定省级专精特新中小企业，获取政策资源与信用背书。</w:t>
      </w:r>
    </w:p>
    <w:p>
      <w:pPr>
        <w:spacing w:lineRule="exact" w:line="600" w:before="120" w:after="120"/>
        <w:ind w:firstLine="420"/>
        <w:jc w:val="left"/>
      </w:pPr>
      <w:r>
        <w:rPr>
          <w:rFonts w:ascii="楷体_GB2312" w:hAnsi="楷体_GB2312" w:eastAsia="楷体_GB2312"/>
          <w:b w:val="0"/>
          <w:color w:val="000000"/>
          <w:sz w:val="32"/>
        </w:rPr>
        <w:t>（四）对山东投资开展合作的建议</w:t>
      </w:r>
    </w:p>
    <w:p>
      <w:pPr>
        <w:spacing w:lineRule="exact" w:line="600" w:before="0" w:after="0"/>
        <w:ind w:firstLine="420"/>
        <w:jc w:val="both"/>
      </w:pPr>
      <w:r>
        <w:rPr>
          <w:rFonts w:ascii="仿宋_GB2312" w:hAnsi="仿宋_GB2312" w:eastAsia="仿宋_GB2312"/>
          <w:b w:val="0"/>
          <w:color w:val="000000"/>
          <w:sz w:val="32"/>
        </w:rPr>
        <w:t>第一，建议将本客户列为"观察类"而非"重点营销类"，在完成涉诉情况逐案核查并确认无被执行、失信等严重负面记录之前，不宜开展实质性授信业务。这是本报告最重要的风险提示。</w:t>
      </w:r>
    </w:p>
    <w:p>
      <w:pPr>
        <w:spacing w:lineRule="exact" w:line="600" w:before="0" w:after="0"/>
        <w:ind w:firstLine="420"/>
        <w:jc w:val="both"/>
      </w:pPr>
      <w:r>
        <w:rPr>
          <w:rFonts w:ascii="仿宋_GB2312" w:hAnsi="仿宋_GB2312" w:eastAsia="仿宋_GB2312"/>
          <w:b w:val="0"/>
          <w:color w:val="000000"/>
          <w:sz w:val="32"/>
        </w:rPr>
        <w:t>第二，若核查结果可接受，建议以融资租赁作为首选切入产品。公司2024年至2025年新建的车篷布生产深加工流水线成新率高、处置价值相对有保障，通过售后回租既可满足其流动资金需求，又能以设备所有权作为风险缓释，风险收益匹配度优于信用类产品。首期规模建议控制在300万元至800万元区间。</w:t>
      </w:r>
    </w:p>
    <w:p>
      <w:pPr>
        <w:spacing w:lineRule="exact" w:line="600" w:before="0" w:after="0"/>
        <w:ind w:firstLine="420"/>
        <w:jc w:val="both"/>
      </w:pPr>
      <w:r>
        <w:rPr>
          <w:rFonts w:ascii="仿宋_GB2312" w:hAnsi="仿宋_GB2312" w:eastAsia="仿宋_GB2312"/>
          <w:b w:val="0"/>
          <w:color w:val="000000"/>
          <w:sz w:val="32"/>
        </w:rPr>
        <w:t>第三，建议实行"小额起步、分期验证"策略。首笔业务规模从严控制，期限不超过两年，并设置按季回访与数据报送要求；在完整履约一个周期后，再根据其转型成效与信用表现决定是否扩大合作。</w:t>
      </w:r>
    </w:p>
    <w:p>
      <w:pPr>
        <w:spacing w:lineRule="exact" w:line="600" w:before="0" w:after="0"/>
        <w:ind w:firstLine="420"/>
        <w:jc w:val="both"/>
      </w:pPr>
      <w:r>
        <w:rPr>
          <w:rFonts w:ascii="仿宋_GB2312" w:hAnsi="仿宋_GB2312" w:eastAsia="仿宋_GB2312"/>
          <w:b w:val="0"/>
          <w:color w:val="000000"/>
          <w:sz w:val="32"/>
        </w:rPr>
        <w:t>第四，建议将本客户纳入惠民绳网集群整体金融服务方案的观察样本。公司的转型探索代表了集群内大量中小企业的共同诉求——摆脱同质化竞争、寻找新的价值增长点。跟踪其转型成败与资金需求特征，有助于山东投资设计更贴合县域产业集群转型期需求的金融产品，为后续批量服务同类客户积累经验与风控模型。</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名称核验：批次名单所列"山东腾龙化纤绳网有限公司"，经国家企业信用信息公示系统、天眼查、企查查、Wind企业库多源检索，未见完全同名的存续主体；与之最为吻合的登记主体为"山东滨州腾龙化纤绳网有限公司"（统一社会信用代码9137162169311515XR，位于惠民县姜楼镇工业园区，存续）。本报告以该主体为分析对象，并在正文第一部分作专项核验说明。</w:t>
      </w:r>
    </w:p>
    <w:p>
      <w:pPr>
        <w:spacing w:lineRule="exact" w:line="600" w:before="0" w:after="0"/>
        <w:jc w:val="left"/>
      </w:pPr>
      <w:r>
        <w:rPr>
          <w:rFonts w:ascii="仿宋_GB2312" w:hAnsi="仿宋_GB2312" w:eastAsia="仿宋_GB2312"/>
          <w:b w:val="0"/>
          <w:color w:val="000000"/>
          <w:sz w:val="28"/>
        </w:rPr>
        <w:t>2．工商登记信息：国家企业信用信息公示系统，天眼查、Wind企业库公开披露的登记备案信息，含统一社会信用代码、成立日期、注册资本、实缴资本、法定代表人、登记机关、经营范围等字段，工商信息更新日期2026年4月14日。</w:t>
      </w:r>
    </w:p>
    <w:p>
      <w:pPr>
        <w:spacing w:lineRule="exact" w:line="600" w:before="0" w:after="0"/>
        <w:jc w:val="left"/>
      </w:pPr>
      <w:r>
        <w:rPr>
          <w:rFonts w:ascii="仿宋_GB2312" w:hAnsi="仿宋_GB2312" w:eastAsia="仿宋_GB2312"/>
          <w:b w:val="0"/>
          <w:color w:val="000000"/>
          <w:sz w:val="28"/>
        </w:rPr>
        <w:t>3．企业自主披露信息：公司在中国供应商、中国制造网、b2b168等B2B平台的企业主页所载公司概况、产能、专利、转型历程与品牌信息。</w:t>
      </w:r>
    </w:p>
    <w:p>
      <w:pPr>
        <w:spacing w:lineRule="exact" w:line="600" w:before="0" w:after="0"/>
        <w:jc w:val="left"/>
      </w:pPr>
      <w:r>
        <w:rPr>
          <w:rFonts w:ascii="仿宋_GB2312" w:hAnsi="仿宋_GB2312" w:eastAsia="仿宋_GB2312"/>
          <w:b w:val="0"/>
          <w:color w:val="000000"/>
          <w:sz w:val="28"/>
        </w:rPr>
        <w:t>4．政府公开信息：惠民县人民政府门户网站《关于对县十九届人大四次会议第1904042号关于〈加大对绳网产业扶持〉建议的答复》（2025年6月20日）。</w:t>
      </w:r>
    </w:p>
    <w:p>
      <w:pPr>
        <w:spacing w:lineRule="exact" w:line="600" w:before="0" w:after="0"/>
        <w:jc w:val="left"/>
      </w:pPr>
      <w:r>
        <w:rPr>
          <w:rFonts w:ascii="仿宋_GB2312" w:hAnsi="仿宋_GB2312" w:eastAsia="仿宋_GB2312"/>
          <w:b w:val="0"/>
          <w:color w:val="000000"/>
          <w:sz w:val="28"/>
        </w:rPr>
        <w:t>5．权威媒体报道：滨州日报·鲁北晚报《优化营商环境助推特色绳网产业发展》（2025年11月18日）、人民网山东频道《小绳网"牵"动百亿产业链》、齐鲁网·闪电新闻《滨州惠民：小绳网织出大集群》等。</w:t>
      </w:r>
    </w:p>
    <w:p>
      <w:pPr>
        <w:spacing w:lineRule="exact" w:line="600" w:before="0" w:after="0"/>
        <w:jc w:val="left"/>
      </w:pPr>
      <w:r>
        <w:rPr>
          <w:rFonts w:ascii="仿宋_GB2312" w:hAnsi="仿宋_GB2312" w:eastAsia="仿宋_GB2312"/>
          <w:b w:val="0"/>
          <w:color w:val="000000"/>
          <w:sz w:val="28"/>
        </w:rPr>
        <w:t>6．本报告统计时点截至2026年8月。公司为非上市小微有限责任公司，未公开披露经审计的定期财务报告，凡涉及营业收入、利润、资产负债等财务指标之处，均如实标注"财务数据未公开披露"，不作任何估算与推断。B2B平台所载"年营业额50—100万元"等信息系企业自行填报的展示性数据，与其宣称的6000吨年产能明显不匹配，不具备财务分析价值，本报告不予采信。各渠道对实缴资本（180万元与120万元）、专利数量（10项、13项与27条）等指标的记载存在差异，本报告已并列注明，实际合作前应以企业提供的一手材料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