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山东滨州惠民（绳网）特色产业集群</w:t>
      </w:r>
    </w:p>
    <w:p>
      <w:pPr>
        <w:spacing w:lineRule="exact" w:line="600" w:before="240" w:after="240"/>
        <w:ind w:firstLine="0"/>
        <w:jc w:val="center"/>
      </w:pPr>
      <w:r>
        <w:rPr>
          <w:rFonts w:ascii="方正小标宋简体" w:hAnsi="方正小标宋简体" w:eastAsia="方正小标宋简体"/>
          <w:b w:val="0"/>
          <w:color w:val="000000"/>
          <w:sz w:val="44"/>
        </w:rPr>
        <w:t>山东金冠网具有限公司企业分析报告</w:t>
      </w:r>
    </w:p>
    <w:p>
      <w:pPr>
        <w:spacing w:lineRule="exact" w:line="600" w:before="0" w:after="0"/>
        <w:jc w:val="left"/>
      </w:pPr>
      <w:r>
        <w:rPr>
          <w:rFonts w:ascii="仿宋_GB2312" w:hAnsi="仿宋_GB2312" w:eastAsia="仿宋_GB2312"/>
          <w:b w:val="0"/>
          <w:color w:val="000000"/>
          <w:sz w:val="28"/>
        </w:rPr>
        <w:t>（本报告数据来源于国家企业信用信息公示系统及天眼查、企查查工商登记信息，公司官方网站 jinguannets.com，惠民县人民政府门户网站公开文件，人民网、齐鲁网、滨州日报等权威媒体公开报道，统计时点截至2026年8月。公司为非上市有限责任公司，未公开披露定期财务报告，本报告中凡涉及具体财务数据之处均如实标注"财务数据未公开披露"，不作任何估算与推断。）</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（一）产业集群背景</w:t>
      </w:r>
    </w:p>
    <w:p>
      <w:pPr>
        <w:spacing w:lineRule="exact" w:line="600" w:before="0" w:after="0"/>
        <w:ind w:firstLine="420"/>
        <w:jc w:val="both"/>
      </w:pPr>
      <w:r>
        <w:rPr>
          <w:rFonts w:ascii="仿宋_GB2312" w:hAnsi="仿宋_GB2312" w:eastAsia="仿宋_GB2312"/>
          <w:b w:val="0"/>
          <w:color w:val="000000"/>
          <w:sz w:val="32"/>
        </w:rPr>
        <w:t>滨州市惠民县是全国最大的新型绳网生产基地，被中国轻工业联合会等机构授予"中国塑料绳网之都""中国绳网名城"称号。当地绳网产业发端于明朝初年的车马挽具制作技艺，距今已有三百余年历史，二十世纪八十年代由"作鞭制绳"的家庭手艺演进为乡镇工业，改革开放后原材料由棉线、皮革全面转向化纤，生产方式由家庭作坊转向规模化工厂。据惠民县人民政府2025年6月对县十九届人大四次会议第1904042号建议的公开答复，全县现有绳网企业4257家，其中规模以上绳网企业89家，加工业户7100余户，从业人员12万余人，产品出口德国、日本、美国等103个国家和地区，2024年绳网产业实现产值300亿元，同比增长15.38%，市场占有率约占全国的80%。</w:t>
      </w:r>
    </w:p>
    <w:p>
      <w:pPr>
        <w:spacing w:lineRule="exact" w:line="600" w:before="0" w:after="0"/>
        <w:ind w:firstLine="420"/>
        <w:jc w:val="both"/>
      </w:pPr>
      <w:r>
        <w:rPr>
          <w:rFonts w:ascii="仿宋_GB2312" w:hAnsi="仿宋_GB2312" w:eastAsia="仿宋_GB2312"/>
          <w:b w:val="0"/>
          <w:color w:val="000000"/>
          <w:sz w:val="32"/>
        </w:rPr>
        <w:t>该集群于2024年度获批国家级中小企业特色产业集群，同时入选山东省十强"雁阵形"产业集群、山东省特色产业集群、工业和信息化部重点培育纺织服装百家品牌，并列入中国纺织行业年工业总产值超百亿产业集群地区名单。产业空间上以李庄镇、姜楼镇为双核：李庄镇以建筑安全网、农业用网、遮阳网、体育休闲网为主，姜楼镇以安全带、安全绳、密目式安全立网等特种劳动防护用品为主，两镇合计集聚了全县绝大部分产能与外贸出口。2024年李庄镇进出口总额、跨境电商交易额分别达到72亿元、53亿元，较三年前翻了三倍多，并成功创建全国外贸转型升级基地。</w:t>
      </w:r>
    </w:p>
    <w:p>
      <w:pPr>
        <w:spacing w:lineRule="exact" w:line="600" w:before="0" w:after="0"/>
        <w:ind w:firstLine="420"/>
        <w:jc w:val="both"/>
      </w:pPr>
      <w:r>
        <w:rPr>
          <w:rFonts w:ascii="仿宋_GB2312" w:hAnsi="仿宋_GB2312" w:eastAsia="仿宋_GB2312"/>
          <w:b w:val="0"/>
          <w:color w:val="000000"/>
          <w:sz w:val="32"/>
        </w:rPr>
        <w:t>为推动产业由"量的积累"迈向"质的飞跃"，惠民县于2024年9月成立由县委、县政府主要领导任总指挥的中国绳网产业新城建设指挥部，实体化集中办公；2025年进一步成立绳网产业新城管理服务中心，统筹规划设计、项目招引与政策支持。中国绳网产业新城总投资约50亿元，围绕原材料供应、机械设备制造、跨境电商、智慧仓储等上下游环节谋划重点项目48个，总投资479.23亿元，其中实施类项目25个、总投资138.63亿元，准备类项目5个、总投资56.3亿元，谋划类项目18个、总投资284.3亿元。滨达、富海等原材料保障类项目已进入建设手续办理阶段。产业发展目标是打造千亿级国家特色产业集群和"世界绳网之都"。</w:t>
      </w:r>
    </w:p>
    <w:p>
      <w:pPr>
        <w:spacing w:lineRule="exact" w:line="600" w:before="0" w:after="0"/>
        <w:ind w:firstLine="420"/>
        <w:jc w:val="both"/>
      </w:pPr>
      <w:r>
        <w:rPr>
          <w:rFonts w:ascii="仿宋_GB2312" w:hAnsi="仿宋_GB2312" w:eastAsia="仿宋_GB2312"/>
          <w:b w:val="0"/>
          <w:color w:val="000000"/>
          <w:sz w:val="32"/>
        </w:rPr>
        <w:t>从产业属性看，绳网属于产业用纺织品与合成纤维制品交叉领域，具有"原料主导成本、标准决定门槛、渠道决定溢价"的典型特征。上游为聚乙烯、聚丙烯、聚酯等石化原料及母粒助剂，价格与国际原油走势高度联动；中游为拉丝、经编/圆织、涂覆、裁切缝制等工序，设备投入相对可控、进入门槛偏低；下游覆盖建筑施工、农业设施、园林绿化、水产养殖、体育休闲、物流运输、安全防护、海洋工程等广泛场景。行业长期存在企业规模普遍偏小、产品同质化严重、品牌影响力偏弱、附加值不高等结构性问题，价格竞争激烈；与此同时，国际市场对阻燃、抗老化、可回收等性能与认证要求持续提高，具备研发能力、检测能力和自营出口能力的企业正在加速与作坊式业户拉开差距。</w:t>
      </w:r>
    </w:p>
    <w:p>
      <w:pPr>
        <w:spacing w:lineRule="exact" w:line="600" w:before="120" w:after="120"/>
        <w:ind w:firstLine="420"/>
        <w:jc w:val="left"/>
      </w:pPr>
      <w:r>
        <w:rPr>
          <w:rFonts w:ascii="楷体_GB2312" w:hAnsi="楷体_GB2312" w:eastAsia="楷体_GB2312"/>
          <w:b w:val="0"/>
          <w:color w:val="000000"/>
          <w:sz w:val="32"/>
        </w:rPr>
        <w:t>（二）企业沿革与工商登记信息</w:t>
      </w:r>
    </w:p>
    <w:p>
      <w:pPr>
        <w:spacing w:lineRule="exact" w:line="600" w:before="0" w:after="0"/>
        <w:ind w:firstLine="420"/>
        <w:jc w:val="both"/>
      </w:pPr>
      <w:r>
        <w:rPr>
          <w:rFonts w:ascii="仿宋_GB2312" w:hAnsi="仿宋_GB2312" w:eastAsia="仿宋_GB2312"/>
          <w:b w:val="0"/>
          <w:color w:val="000000"/>
          <w:sz w:val="32"/>
        </w:rPr>
        <w:t>山东金冠网具有限公司（曾用名：山东惠民金冠网具有限责任公司，以下简称"金冠网具"或"公司"）创建于2000年8月18日，是惠民绳网产业由家庭作坊向现代企业转型阶段成长起来的第一批规范化生产企业之一，也是当地公认的绳网产业龙头企业。公司注册地址为山东省滨州市惠民县李庄镇驻地，正处于全县绳网产业最为集中的核心镇域。经过二十余年发展，公司已由单一建筑安全网生产商成长为覆盖农业、建筑、园林、体育休闲、养殖、运输、防护等多领域的综合性绳网制造企业。</w:t>
      </w:r>
    </w:p>
    <w:tbl>
      <w:tblPr>
        <w:tblStyle w:val="TableGrid"/>
        <w:tblW w:type="auto" w:w="0"/>
        <w:jc w:val="center"/>
        <w:tblLook w:firstColumn="1" w:firstRow="1" w:lastColumn="0" w:lastRow="0" w:noHBand="0" w:noVBand="1" w:val="04A0"/>
      </w:tblPr>
      <w:tblGrid>
        <w:gridCol w:w="4422"/>
        <w:gridCol w:w="4422"/>
      </w:tblGrid>
      <w:tr>
        <w:tc>
          <w:tcPr>
            <w:tcW w:type="dxa" w:w="4422"/>
          </w:tcPr>
          <w:p>
            <w:pPr>
              <w:spacing w:lineRule="exact" w:line="600"/>
              <w:jc w:val="center"/>
            </w:pPr>
            <w:r/>
            <w:r>
              <w:rPr>
                <w:rFonts w:ascii="黑体" w:hAnsi="黑体" w:eastAsia="黑体"/>
                <w:b/>
                <w:color w:val="000000"/>
                <w:sz w:val="32"/>
              </w:rPr>
              <w:t>登记项目</w:t>
            </w:r>
          </w:p>
        </w:tc>
        <w:tc>
          <w:tcPr>
            <w:tcW w:type="dxa" w:w="4422"/>
          </w:tcPr>
          <w:p>
            <w:pPr>
              <w:spacing w:lineRule="exact" w:line="600"/>
              <w:jc w:val="center"/>
            </w:pPr>
            <w:r/>
            <w:r>
              <w:rPr>
                <w:rFonts w:ascii="黑体" w:hAnsi="黑体" w:eastAsia="黑体"/>
                <w:b/>
                <w:color w:val="000000"/>
                <w:sz w:val="32"/>
              </w:rPr>
              <w:t>登记内容</w:t>
            </w:r>
          </w:p>
        </w:tc>
      </w:tr>
      <w:tr>
        <w:tc>
          <w:tcPr>
            <w:tcW w:type="dxa" w:w="4422"/>
          </w:tcPr>
          <w:p>
            <w:pPr>
              <w:spacing w:lineRule="exact" w:line="600"/>
              <w:jc w:val="center"/>
            </w:pPr>
            <w:r/>
            <w:r>
              <w:rPr>
                <w:rFonts w:ascii="仿宋_GB2312" w:hAnsi="仿宋_GB2312" w:eastAsia="仿宋_GB2312"/>
                <w:b w:val="0"/>
                <w:color w:val="000000"/>
                <w:sz w:val="32"/>
              </w:rPr>
              <w:t>企业名称</w:t>
            </w:r>
          </w:p>
        </w:tc>
        <w:tc>
          <w:tcPr>
            <w:tcW w:type="dxa" w:w="4422"/>
          </w:tcPr>
          <w:p>
            <w:pPr>
              <w:spacing w:lineRule="exact" w:line="600"/>
              <w:jc w:val="center"/>
            </w:pPr>
            <w:r/>
            <w:r>
              <w:rPr>
                <w:rFonts w:ascii="仿宋_GB2312" w:hAnsi="仿宋_GB2312" w:eastAsia="仿宋_GB2312"/>
                <w:b w:val="0"/>
                <w:color w:val="000000"/>
                <w:sz w:val="32"/>
              </w:rPr>
              <w:t>山东金冠网具有限公司</w:t>
            </w:r>
          </w:p>
        </w:tc>
      </w:tr>
      <w:tr>
        <w:tc>
          <w:tcPr>
            <w:tcW w:type="dxa" w:w="4422"/>
          </w:tcPr>
          <w:p>
            <w:pPr>
              <w:spacing w:lineRule="exact" w:line="600"/>
              <w:jc w:val="center"/>
            </w:pPr>
            <w:r/>
            <w:r>
              <w:rPr>
                <w:rFonts w:ascii="仿宋_GB2312" w:hAnsi="仿宋_GB2312" w:eastAsia="仿宋_GB2312"/>
                <w:b w:val="0"/>
                <w:color w:val="000000"/>
                <w:sz w:val="32"/>
              </w:rPr>
              <w:t>曾用名</w:t>
            </w:r>
          </w:p>
        </w:tc>
        <w:tc>
          <w:tcPr>
            <w:tcW w:type="dxa" w:w="4422"/>
          </w:tcPr>
          <w:p>
            <w:pPr>
              <w:spacing w:lineRule="exact" w:line="600"/>
              <w:jc w:val="center"/>
            </w:pPr>
            <w:r/>
            <w:r>
              <w:rPr>
                <w:rFonts w:ascii="仿宋_GB2312" w:hAnsi="仿宋_GB2312" w:eastAsia="仿宋_GB2312"/>
                <w:b w:val="0"/>
                <w:color w:val="000000"/>
                <w:sz w:val="32"/>
              </w:rPr>
              <w:t>山东惠民金冠网具有限责任公司</w:t>
            </w:r>
          </w:p>
        </w:tc>
      </w:tr>
      <w:tr>
        <w:tc>
          <w:tcPr>
            <w:tcW w:type="dxa" w:w="4422"/>
          </w:tcPr>
          <w:p>
            <w:pPr>
              <w:spacing w:lineRule="exact" w:line="600"/>
              <w:jc w:val="center"/>
            </w:pPr>
            <w:r/>
            <w:r>
              <w:rPr>
                <w:rFonts w:ascii="仿宋_GB2312" w:hAnsi="仿宋_GB2312" w:eastAsia="仿宋_GB2312"/>
                <w:b w:val="0"/>
                <w:color w:val="000000"/>
                <w:sz w:val="32"/>
              </w:rPr>
              <w:t>英文名称</w:t>
            </w:r>
          </w:p>
        </w:tc>
        <w:tc>
          <w:tcPr>
            <w:tcW w:type="dxa" w:w="4422"/>
          </w:tcPr>
          <w:p>
            <w:pPr>
              <w:spacing w:lineRule="exact" w:line="600"/>
              <w:jc w:val="center"/>
            </w:pPr>
            <w:r/>
            <w:r>
              <w:rPr>
                <w:rFonts w:ascii="仿宋_GB2312" w:hAnsi="仿宋_GB2312" w:eastAsia="仿宋_GB2312"/>
                <w:b w:val="0"/>
                <w:color w:val="000000"/>
                <w:sz w:val="32"/>
              </w:rPr>
              <w:t>Shandong Jinguan Net Co., Ltd.</w:t>
            </w:r>
          </w:p>
        </w:tc>
      </w:tr>
      <w:tr>
        <w:tc>
          <w:tcPr>
            <w:tcW w:type="dxa" w:w="4422"/>
          </w:tcPr>
          <w:p>
            <w:pPr>
              <w:spacing w:lineRule="exact" w:line="600"/>
              <w:jc w:val="center"/>
            </w:pPr>
            <w:r/>
            <w:r>
              <w:rPr>
                <w:rFonts w:ascii="仿宋_GB2312" w:hAnsi="仿宋_GB2312" w:eastAsia="仿宋_GB2312"/>
                <w:b w:val="0"/>
                <w:color w:val="000000"/>
                <w:sz w:val="32"/>
              </w:rPr>
              <w:t>统一社会信用代码</w:t>
            </w:r>
          </w:p>
        </w:tc>
        <w:tc>
          <w:tcPr>
            <w:tcW w:type="dxa" w:w="4422"/>
          </w:tcPr>
          <w:p>
            <w:pPr>
              <w:spacing w:lineRule="exact" w:line="600"/>
              <w:jc w:val="center"/>
            </w:pPr>
            <w:r/>
            <w:r>
              <w:rPr>
                <w:rFonts w:ascii="仿宋_GB2312" w:hAnsi="仿宋_GB2312" w:eastAsia="仿宋_GB2312"/>
                <w:b w:val="0"/>
                <w:color w:val="000000"/>
                <w:sz w:val="32"/>
              </w:rPr>
              <w:t>9137162172755774X8</w:t>
            </w:r>
          </w:p>
        </w:tc>
      </w:tr>
      <w:tr>
        <w:tc>
          <w:tcPr>
            <w:tcW w:type="dxa" w:w="4422"/>
          </w:tcPr>
          <w:p>
            <w:pPr>
              <w:spacing w:lineRule="exact" w:line="600"/>
              <w:jc w:val="center"/>
            </w:pPr>
            <w:r/>
            <w:r>
              <w:rPr>
                <w:rFonts w:ascii="仿宋_GB2312" w:hAnsi="仿宋_GB2312" w:eastAsia="仿宋_GB2312"/>
                <w:b w:val="0"/>
                <w:color w:val="000000"/>
                <w:sz w:val="32"/>
              </w:rPr>
              <w:t>注册号</w:t>
            </w:r>
          </w:p>
        </w:tc>
        <w:tc>
          <w:tcPr>
            <w:tcW w:type="dxa" w:w="4422"/>
          </w:tcPr>
          <w:p>
            <w:pPr>
              <w:spacing w:lineRule="exact" w:line="600"/>
              <w:jc w:val="center"/>
            </w:pPr>
            <w:r/>
            <w:r>
              <w:rPr>
                <w:rFonts w:ascii="仿宋_GB2312" w:hAnsi="仿宋_GB2312" w:eastAsia="仿宋_GB2312"/>
                <w:b w:val="0"/>
                <w:color w:val="000000"/>
                <w:sz w:val="32"/>
              </w:rPr>
              <w:t>371621228005778</w:t>
            </w:r>
          </w:p>
        </w:tc>
      </w:tr>
      <w:tr>
        <w:tc>
          <w:tcPr>
            <w:tcW w:type="dxa" w:w="4422"/>
          </w:tcPr>
          <w:p>
            <w:pPr>
              <w:spacing w:lineRule="exact" w:line="600"/>
              <w:jc w:val="center"/>
            </w:pPr>
            <w:r/>
            <w:r>
              <w:rPr>
                <w:rFonts w:ascii="仿宋_GB2312" w:hAnsi="仿宋_GB2312" w:eastAsia="仿宋_GB2312"/>
                <w:b w:val="0"/>
                <w:color w:val="000000"/>
                <w:sz w:val="32"/>
              </w:rPr>
              <w:t>组织机构代码</w:t>
            </w:r>
          </w:p>
        </w:tc>
        <w:tc>
          <w:tcPr>
            <w:tcW w:type="dxa" w:w="4422"/>
          </w:tcPr>
          <w:p>
            <w:pPr>
              <w:spacing w:lineRule="exact" w:line="600"/>
              <w:jc w:val="center"/>
            </w:pPr>
            <w:r/>
            <w:r>
              <w:rPr>
                <w:rFonts w:ascii="仿宋_GB2312" w:hAnsi="仿宋_GB2312" w:eastAsia="仿宋_GB2312"/>
                <w:b w:val="0"/>
                <w:color w:val="000000"/>
                <w:sz w:val="32"/>
              </w:rPr>
              <w:t>72755774-X</w:t>
            </w:r>
          </w:p>
        </w:tc>
      </w:tr>
      <w:tr>
        <w:tc>
          <w:tcPr>
            <w:tcW w:type="dxa" w:w="4422"/>
          </w:tcPr>
          <w:p>
            <w:pPr>
              <w:spacing w:lineRule="exact" w:line="600"/>
              <w:jc w:val="center"/>
            </w:pPr>
            <w:r/>
            <w:r>
              <w:rPr>
                <w:rFonts w:ascii="仿宋_GB2312" w:hAnsi="仿宋_GB2312" w:eastAsia="仿宋_GB2312"/>
                <w:b w:val="0"/>
                <w:color w:val="000000"/>
                <w:sz w:val="32"/>
              </w:rPr>
              <w:t>企业类型</w:t>
            </w:r>
          </w:p>
        </w:tc>
        <w:tc>
          <w:tcPr>
            <w:tcW w:type="dxa" w:w="4422"/>
          </w:tcPr>
          <w:p>
            <w:pPr>
              <w:spacing w:lineRule="exact" w:line="600"/>
              <w:jc w:val="center"/>
            </w:pPr>
            <w:r/>
            <w:r>
              <w:rPr>
                <w:rFonts w:ascii="仿宋_GB2312" w:hAnsi="仿宋_GB2312" w:eastAsia="仿宋_GB2312"/>
                <w:b w:val="0"/>
                <w:color w:val="000000"/>
                <w:sz w:val="32"/>
              </w:rPr>
              <w:t>有限责任公司（自然人独资）</w:t>
            </w:r>
          </w:p>
        </w:tc>
      </w:tr>
      <w:tr>
        <w:tc>
          <w:tcPr>
            <w:tcW w:type="dxa" w:w="4422"/>
          </w:tcPr>
          <w:p>
            <w:pPr>
              <w:spacing w:lineRule="exact" w:line="600"/>
              <w:jc w:val="center"/>
            </w:pPr>
            <w:r/>
            <w:r>
              <w:rPr>
                <w:rFonts w:ascii="仿宋_GB2312" w:hAnsi="仿宋_GB2312" w:eastAsia="仿宋_GB2312"/>
                <w:b w:val="0"/>
                <w:color w:val="000000"/>
                <w:sz w:val="32"/>
              </w:rPr>
              <w:t>成立日期</w:t>
            </w:r>
          </w:p>
        </w:tc>
        <w:tc>
          <w:tcPr>
            <w:tcW w:type="dxa" w:w="4422"/>
          </w:tcPr>
          <w:p>
            <w:pPr>
              <w:spacing w:lineRule="exact" w:line="600"/>
              <w:jc w:val="center"/>
            </w:pPr>
            <w:r/>
            <w:r>
              <w:rPr>
                <w:rFonts w:ascii="仿宋_GB2312" w:hAnsi="仿宋_GB2312" w:eastAsia="仿宋_GB2312"/>
                <w:b w:val="0"/>
                <w:color w:val="000000"/>
                <w:sz w:val="32"/>
              </w:rPr>
              <w:t>2000年8月18日</w:t>
            </w:r>
          </w:p>
        </w:tc>
      </w:tr>
      <w:tr>
        <w:tc>
          <w:tcPr>
            <w:tcW w:type="dxa" w:w="4422"/>
          </w:tcPr>
          <w:p>
            <w:pPr>
              <w:spacing w:lineRule="exact" w:line="600"/>
              <w:jc w:val="center"/>
            </w:pPr>
            <w:r/>
            <w:r>
              <w:rPr>
                <w:rFonts w:ascii="仿宋_GB2312" w:hAnsi="仿宋_GB2312" w:eastAsia="仿宋_GB2312"/>
                <w:b w:val="0"/>
                <w:color w:val="000000"/>
                <w:sz w:val="32"/>
              </w:rPr>
              <w:t>营业期限</w:t>
            </w:r>
          </w:p>
        </w:tc>
        <w:tc>
          <w:tcPr>
            <w:tcW w:type="dxa" w:w="4422"/>
          </w:tcPr>
          <w:p>
            <w:pPr>
              <w:spacing w:lineRule="exact" w:line="600"/>
              <w:jc w:val="center"/>
            </w:pPr>
            <w:r/>
            <w:r>
              <w:rPr>
                <w:rFonts w:ascii="仿宋_GB2312" w:hAnsi="仿宋_GB2312" w:eastAsia="仿宋_GB2312"/>
                <w:b w:val="0"/>
                <w:color w:val="000000"/>
                <w:sz w:val="32"/>
              </w:rPr>
              <w:t>2000年8月18日至无固定期限</w:t>
            </w:r>
          </w:p>
        </w:tc>
      </w:tr>
      <w:tr>
        <w:tc>
          <w:tcPr>
            <w:tcW w:type="dxa" w:w="4422"/>
          </w:tcPr>
          <w:p>
            <w:pPr>
              <w:spacing w:lineRule="exact" w:line="600"/>
              <w:jc w:val="center"/>
            </w:pPr>
            <w:r/>
            <w:r>
              <w:rPr>
                <w:rFonts w:ascii="仿宋_GB2312" w:hAnsi="仿宋_GB2312" w:eastAsia="仿宋_GB2312"/>
                <w:b w:val="0"/>
                <w:color w:val="000000"/>
                <w:sz w:val="32"/>
              </w:rPr>
              <w:t>注册资本</w:t>
            </w:r>
          </w:p>
        </w:tc>
        <w:tc>
          <w:tcPr>
            <w:tcW w:type="dxa" w:w="4422"/>
          </w:tcPr>
          <w:p>
            <w:pPr>
              <w:spacing w:lineRule="exact" w:line="600"/>
              <w:jc w:val="center"/>
            </w:pPr>
            <w:r/>
            <w:r>
              <w:rPr>
                <w:rFonts w:ascii="仿宋_GB2312" w:hAnsi="仿宋_GB2312" w:eastAsia="仿宋_GB2312"/>
                <w:b w:val="0"/>
                <w:color w:val="000000"/>
                <w:sz w:val="32"/>
              </w:rPr>
              <w:t>5000万元人民币</w:t>
            </w:r>
          </w:p>
        </w:tc>
      </w:tr>
      <w:tr>
        <w:tc>
          <w:tcPr>
            <w:tcW w:type="dxa" w:w="4422"/>
          </w:tcPr>
          <w:p>
            <w:pPr>
              <w:spacing w:lineRule="exact" w:line="600"/>
              <w:jc w:val="center"/>
            </w:pPr>
            <w:r/>
            <w:r>
              <w:rPr>
                <w:rFonts w:ascii="仿宋_GB2312" w:hAnsi="仿宋_GB2312" w:eastAsia="仿宋_GB2312"/>
                <w:b w:val="0"/>
                <w:color w:val="000000"/>
                <w:sz w:val="32"/>
              </w:rPr>
              <w:t>实缴资本</w:t>
            </w:r>
          </w:p>
        </w:tc>
        <w:tc>
          <w:tcPr>
            <w:tcW w:type="dxa" w:w="4422"/>
          </w:tcPr>
          <w:p>
            <w:pPr>
              <w:spacing w:lineRule="exact" w:line="600"/>
              <w:jc w:val="center"/>
            </w:pPr>
            <w:r/>
            <w:r>
              <w:rPr>
                <w:rFonts w:ascii="仿宋_GB2312" w:hAnsi="仿宋_GB2312" w:eastAsia="仿宋_GB2312"/>
                <w:b w:val="0"/>
                <w:color w:val="000000"/>
                <w:sz w:val="32"/>
              </w:rPr>
              <w:t>5000万元人民币</w:t>
            </w:r>
          </w:p>
        </w:tc>
      </w:tr>
      <w:tr>
        <w:tc>
          <w:tcPr>
            <w:tcW w:type="dxa" w:w="4422"/>
          </w:tcPr>
          <w:p>
            <w:pPr>
              <w:spacing w:lineRule="exact" w:line="600"/>
              <w:jc w:val="center"/>
            </w:pPr>
            <w:r/>
            <w:r>
              <w:rPr>
                <w:rFonts w:ascii="仿宋_GB2312" w:hAnsi="仿宋_GB2312" w:eastAsia="仿宋_GB2312"/>
                <w:b w:val="0"/>
                <w:color w:val="000000"/>
                <w:sz w:val="32"/>
              </w:rPr>
              <w:t>登记状态</w:t>
            </w:r>
          </w:p>
        </w:tc>
        <w:tc>
          <w:tcPr>
            <w:tcW w:type="dxa" w:w="4422"/>
          </w:tcPr>
          <w:p>
            <w:pPr>
              <w:spacing w:lineRule="exact" w:line="600"/>
              <w:jc w:val="center"/>
            </w:pPr>
            <w:r/>
            <w:r>
              <w:rPr>
                <w:rFonts w:ascii="仿宋_GB2312" w:hAnsi="仿宋_GB2312" w:eastAsia="仿宋_GB2312"/>
                <w:b w:val="0"/>
                <w:color w:val="000000"/>
                <w:sz w:val="32"/>
              </w:rPr>
              <w:t>存续（在营、开业、在册）</w:t>
            </w:r>
          </w:p>
        </w:tc>
      </w:tr>
      <w:tr>
        <w:tc>
          <w:tcPr>
            <w:tcW w:type="dxa" w:w="4422"/>
          </w:tcPr>
          <w:p>
            <w:pPr>
              <w:spacing w:lineRule="exact" w:line="600"/>
              <w:jc w:val="center"/>
            </w:pPr>
            <w:r/>
            <w:r>
              <w:rPr>
                <w:rFonts w:ascii="仿宋_GB2312" w:hAnsi="仿宋_GB2312" w:eastAsia="仿宋_GB2312"/>
                <w:b w:val="0"/>
                <w:color w:val="000000"/>
                <w:sz w:val="32"/>
              </w:rPr>
              <w:t>登记机关</w:t>
            </w:r>
          </w:p>
        </w:tc>
        <w:tc>
          <w:tcPr>
            <w:tcW w:type="dxa" w:w="4422"/>
          </w:tcPr>
          <w:p>
            <w:pPr>
              <w:spacing w:lineRule="exact" w:line="600"/>
              <w:jc w:val="center"/>
            </w:pPr>
            <w:r/>
            <w:r>
              <w:rPr>
                <w:rFonts w:ascii="仿宋_GB2312" w:hAnsi="仿宋_GB2312" w:eastAsia="仿宋_GB2312"/>
                <w:b w:val="0"/>
                <w:color w:val="000000"/>
                <w:sz w:val="32"/>
              </w:rPr>
              <w:t>滨州市惠民县市场监督管理局</w:t>
            </w:r>
          </w:p>
        </w:tc>
      </w:tr>
      <w:tr>
        <w:tc>
          <w:tcPr>
            <w:tcW w:type="dxa" w:w="4422"/>
          </w:tcPr>
          <w:p>
            <w:pPr>
              <w:spacing w:lineRule="exact" w:line="600"/>
              <w:jc w:val="center"/>
            </w:pPr>
            <w:r/>
            <w:r>
              <w:rPr>
                <w:rFonts w:ascii="仿宋_GB2312" w:hAnsi="仿宋_GB2312" w:eastAsia="仿宋_GB2312"/>
                <w:b w:val="0"/>
                <w:color w:val="000000"/>
                <w:sz w:val="32"/>
              </w:rPr>
              <w:t>注册地址</w:t>
            </w:r>
          </w:p>
        </w:tc>
        <w:tc>
          <w:tcPr>
            <w:tcW w:type="dxa" w:w="4422"/>
          </w:tcPr>
          <w:p>
            <w:pPr>
              <w:spacing w:lineRule="exact" w:line="600"/>
              <w:jc w:val="center"/>
            </w:pPr>
            <w:r/>
            <w:r>
              <w:rPr>
                <w:rFonts w:ascii="仿宋_GB2312" w:hAnsi="仿宋_GB2312" w:eastAsia="仿宋_GB2312"/>
                <w:b w:val="0"/>
                <w:color w:val="000000"/>
                <w:sz w:val="32"/>
              </w:rPr>
              <w:t>山东省滨州市惠民县李庄镇驻地</w:t>
            </w:r>
          </w:p>
        </w:tc>
      </w:tr>
      <w:tr>
        <w:tc>
          <w:tcPr>
            <w:tcW w:type="dxa" w:w="4422"/>
          </w:tcPr>
          <w:p>
            <w:pPr>
              <w:spacing w:lineRule="exact" w:line="600"/>
              <w:jc w:val="center"/>
            </w:pPr>
            <w:r/>
            <w:r>
              <w:rPr>
                <w:rFonts w:ascii="仿宋_GB2312" w:hAnsi="仿宋_GB2312" w:eastAsia="仿宋_GB2312"/>
                <w:b w:val="0"/>
                <w:color w:val="000000"/>
                <w:sz w:val="32"/>
              </w:rPr>
              <w:t>国民经济行业分类</w:t>
            </w:r>
          </w:p>
        </w:tc>
        <w:tc>
          <w:tcPr>
            <w:tcW w:type="dxa" w:w="4422"/>
          </w:tcPr>
          <w:p>
            <w:pPr>
              <w:spacing w:lineRule="exact" w:line="600"/>
              <w:jc w:val="center"/>
            </w:pPr>
            <w:r/>
            <w:r>
              <w:rPr>
                <w:rFonts w:ascii="仿宋_GB2312" w:hAnsi="仿宋_GB2312" w:eastAsia="仿宋_GB2312"/>
                <w:b w:val="0"/>
                <w:color w:val="000000"/>
                <w:sz w:val="32"/>
              </w:rPr>
              <w:t>化学纤维制造业＞合成纤维制造＞其他合成纤维制造</w:t>
            </w:r>
          </w:p>
        </w:tc>
      </w:tr>
      <w:tr>
        <w:tc>
          <w:tcPr>
            <w:tcW w:type="dxa" w:w="4422"/>
          </w:tcPr>
          <w:p>
            <w:pPr>
              <w:spacing w:lineRule="exact" w:line="600"/>
              <w:jc w:val="center"/>
            </w:pPr>
            <w:r/>
            <w:r>
              <w:rPr>
                <w:rFonts w:ascii="仿宋_GB2312" w:hAnsi="仿宋_GB2312" w:eastAsia="仿宋_GB2312"/>
                <w:b w:val="0"/>
                <w:color w:val="000000"/>
                <w:sz w:val="32"/>
              </w:rPr>
              <w:t>参保人数</w:t>
            </w:r>
          </w:p>
        </w:tc>
        <w:tc>
          <w:tcPr>
            <w:tcW w:type="dxa" w:w="4422"/>
          </w:tcPr>
          <w:p>
            <w:pPr>
              <w:spacing w:lineRule="exact" w:line="600"/>
              <w:jc w:val="center"/>
            </w:pPr>
            <w:r/>
            <w:r>
              <w:rPr>
                <w:rFonts w:ascii="仿宋_GB2312" w:hAnsi="仿宋_GB2312" w:eastAsia="仿宋_GB2312"/>
                <w:b w:val="0"/>
                <w:color w:val="000000"/>
                <w:sz w:val="32"/>
              </w:rPr>
              <w:t>38人（公示口径）</w:t>
            </w:r>
          </w:p>
        </w:tc>
      </w:tr>
      <w:tr>
        <w:tc>
          <w:tcPr>
            <w:tcW w:type="dxa" w:w="4422"/>
          </w:tcPr>
          <w:p>
            <w:pPr>
              <w:spacing w:lineRule="exact" w:line="600"/>
              <w:jc w:val="center"/>
            </w:pPr>
            <w:r/>
            <w:r>
              <w:rPr>
                <w:rFonts w:ascii="仿宋_GB2312" w:hAnsi="仿宋_GB2312" w:eastAsia="仿宋_GB2312"/>
                <w:b w:val="0"/>
                <w:color w:val="000000"/>
                <w:sz w:val="32"/>
              </w:rPr>
              <w:t>企业规模</w:t>
            </w:r>
          </w:p>
        </w:tc>
        <w:tc>
          <w:tcPr>
            <w:tcW w:type="dxa" w:w="4422"/>
          </w:tcPr>
          <w:p>
            <w:pPr>
              <w:spacing w:lineRule="exact" w:line="600"/>
              <w:jc w:val="center"/>
            </w:pPr>
            <w:r/>
            <w:r>
              <w:rPr>
                <w:rFonts w:ascii="仿宋_GB2312" w:hAnsi="仿宋_GB2312" w:eastAsia="仿宋_GB2312"/>
                <w:b w:val="0"/>
                <w:color w:val="000000"/>
                <w:sz w:val="32"/>
              </w:rPr>
              <w:t>小微企业（公示口径）</w:t>
            </w:r>
          </w:p>
        </w:tc>
      </w:tr>
    </w:tbl>
    <w:p>
      <w:pPr>
        <w:spacing w:lineRule="exact" w:line="600" w:before="0" w:after="0"/>
        <w:ind w:firstLine="420"/>
        <w:jc w:val="both"/>
      </w:pPr>
      <w:r>
        <w:rPr>
          <w:rFonts w:ascii="仿宋_GB2312" w:hAnsi="仿宋_GB2312" w:eastAsia="仿宋_GB2312"/>
          <w:b w:val="0"/>
          <w:color w:val="000000"/>
          <w:sz w:val="32"/>
        </w:rPr>
        <w:t>公司经营范围为：生产销售体育项目用网、体育器材及配件、运动用球类器材及器械、安全网（平网P-3×6，密目式安全立网ML-1.8×6）、运输网、养殖网、封垛网、吊装网、遮阳网、农业用网、园林用网；塑料制品、化纤制品的销售；农业用纺织品、渔业用纺织品、安全带、安全绳、安全帽、安全鞋、防护手套、坐板吊具的加工与销售（国家产业政策限制、淘汰的不得生产）；备案范围内的进出口业务（需要国家专项审批的项目除外）。经营范围中明确列示安全网的具体规格型号，反映出该类产品属于实施生产许可与强制性标准管理的安全防护类产品，对企业的资质持有与质量管控能力有刚性要求。</w:t>
      </w:r>
    </w:p>
    <w:p>
      <w:pPr>
        <w:spacing w:lineRule="exact" w:line="600" w:before="0" w:after="0"/>
        <w:ind w:firstLine="420"/>
        <w:jc w:val="both"/>
      </w:pPr>
      <w:r>
        <w:rPr>
          <w:rFonts w:ascii="仿宋_GB2312" w:hAnsi="仿宋_GB2312" w:eastAsia="仿宋_GB2312"/>
          <w:b w:val="0"/>
          <w:color w:val="000000"/>
          <w:sz w:val="32"/>
        </w:rPr>
        <w:t>需要提示的是，公开渠道对公司法定代表人的记载存在不一致：天眼查等平台显示现任法定代表人为任立超，部分行业网站历史页面显示为任文凯。人民网2025年5月相关报道中，以"企业负责人任立超"的身份介绍公司经营情况，与现行登记信息一致。建议在正式业务合作前，以国家企业信用信息公示系统的最新核准信息和营业执照原件为准，并同步核验法定代表人身份证件、公司章程及股东会决议，确认签约主体的适格性。</w:t>
      </w:r>
    </w:p>
    <w:p>
      <w:pPr>
        <w:spacing w:lineRule="exact" w:line="600" w:before="120" w:after="120"/>
        <w:ind w:firstLine="420"/>
        <w:jc w:val="left"/>
      </w:pPr>
      <w:r>
        <w:rPr>
          <w:rFonts w:ascii="楷体_GB2312" w:hAnsi="楷体_GB2312" w:eastAsia="楷体_GB2312"/>
          <w:b w:val="0"/>
          <w:color w:val="000000"/>
          <w:sz w:val="32"/>
        </w:rPr>
        <w:t>（三）股权结构与实际控制人</w:t>
      </w:r>
    </w:p>
    <w:p>
      <w:pPr>
        <w:spacing w:lineRule="exact" w:line="600" w:before="0" w:after="0"/>
        <w:ind w:firstLine="420"/>
        <w:jc w:val="both"/>
      </w:pPr>
      <w:r>
        <w:rPr>
          <w:rFonts w:ascii="仿宋_GB2312" w:hAnsi="仿宋_GB2312" w:eastAsia="仿宋_GB2312"/>
          <w:b w:val="0"/>
          <w:color w:val="000000"/>
          <w:sz w:val="32"/>
        </w:rPr>
        <w:t>公司登记类型为"有限责任公司（自然人独资）"，即股东为单一自然人，注册资本5000万元已全额实缴。这一股权结构在惠民绳网集群中具有代表性：企业多由本地创业者创办，家族式持股、创始人集权决策，产权关系清晰、决策链条短、市场反应快，但同时也意味着企业发展高度依赖实际控制人的个人能力与信用，缺乏外部股东的制衡与资本补充渠道。</w:t>
      </w:r>
    </w:p>
    <w:p>
      <w:pPr>
        <w:spacing w:lineRule="exact" w:line="600" w:before="0" w:after="0"/>
        <w:ind w:firstLine="420"/>
        <w:jc w:val="both"/>
      </w:pPr>
      <w:r>
        <w:rPr>
          <w:rFonts w:ascii="仿宋_GB2312" w:hAnsi="仿宋_GB2312" w:eastAsia="仿宋_GB2312"/>
          <w:b w:val="0"/>
          <w:color w:val="000000"/>
          <w:sz w:val="32"/>
        </w:rPr>
        <w:t>从对外投资看，据天眼查大数据统计，公司对外投资企业2家，尚未形成层级复杂的集团架构，主业聚焦度较高，关联交易与资金占用风险相对可控。实缴资本5000万元这一指标在山东省同行业中处于前5%水平，反映出股东对企业的实际投入力度较大，资本实力在集群内属于第一梯队。但需注意的是，自然人独资结构下，股东个人财产与公司财产的隔离度需通过财务制度审慎核查，授信业务中宜要求实际控制人及其配偶提供连带责任保证，以强化信用绑定。</w:t>
      </w:r>
    </w:p>
    <w:p>
      <w:pPr>
        <w:spacing w:lineRule="exact" w:line="600" w:before="120" w:after="120"/>
        <w:ind w:firstLine="420"/>
        <w:jc w:val="left"/>
      </w:pPr>
      <w:r>
        <w:rPr>
          <w:rFonts w:ascii="楷体_GB2312" w:hAnsi="楷体_GB2312" w:eastAsia="楷体_GB2312"/>
          <w:b w:val="0"/>
          <w:color w:val="000000"/>
          <w:sz w:val="32"/>
        </w:rPr>
        <w:t>（四）经营场所与产能规模</w:t>
      </w:r>
    </w:p>
    <w:p>
      <w:pPr>
        <w:spacing w:lineRule="exact" w:line="600" w:before="0" w:after="0"/>
        <w:ind w:firstLine="420"/>
        <w:jc w:val="both"/>
      </w:pPr>
      <w:r>
        <w:rPr>
          <w:rFonts w:ascii="仿宋_GB2312" w:hAnsi="仿宋_GB2312" w:eastAsia="仿宋_GB2312"/>
          <w:b w:val="0"/>
          <w:color w:val="000000"/>
          <w:sz w:val="32"/>
        </w:rPr>
        <w:t>据公司官方网站及惠民县人力资源和社会保障局2025年2月发布的就业岗位信息，公司占地70余亩（约十万平方米），现有员工200余人，年产能5000吨至6000吨；拥有拉丝机30余台、经编机110余台，配套三个大型立体化成品仓库和一个大型立体化原料仓库。2023年11月，公司就仓储项目进行了社会稳定风险分析评估公示，显示其正在进一步扩充仓储物流能力，以支撑订单规模扩张和交期保障。</w:t>
      </w:r>
    </w:p>
    <w:p>
      <w:pPr>
        <w:spacing w:lineRule="exact" w:line="600" w:before="0" w:after="0"/>
        <w:ind w:firstLine="420"/>
        <w:jc w:val="both"/>
      </w:pPr>
      <w:r>
        <w:rPr>
          <w:rFonts w:ascii="仿宋_GB2312" w:hAnsi="仿宋_GB2312" w:eastAsia="仿宋_GB2312"/>
          <w:b w:val="0"/>
          <w:color w:val="000000"/>
          <w:sz w:val="32"/>
        </w:rPr>
        <w:t>需要说明的是，工商公示的参保人数为38人，与企业自主披露的"员工200余人"存在明显差异。这一差异在绳网产业中较为普遍，主要源于产业组织形态：大量生产环节以计件外协、家庭工坊、季节性用工方式完成，未纳入企业社保参保统计。这既是当地"企业+合作社+农户"柔性产能模式的体现，也意味着企业实际用工的合规成本与管理半径需要在尽职调查中重点核实。</w:t>
      </w:r>
    </w:p>
    <w:tbl>
      <w:tblPr>
        <w:tblStyle w:val="TableGrid"/>
        <w:tblW w:type="auto" w:w="0"/>
        <w:jc w:val="center"/>
        <w:tblLook w:firstColumn="1" w:firstRow="1" w:lastColumn="0" w:lastRow="0" w:noHBand="0" w:noVBand="1" w:val="04A0"/>
      </w:tblPr>
      <w:tblGrid>
        <w:gridCol w:w="2948"/>
        <w:gridCol w:w="2948"/>
        <w:gridCol w:w="2948"/>
      </w:tblGrid>
      <w:tr>
        <w:tc>
          <w:tcPr>
            <w:tcW w:type="dxa" w:w="2948"/>
          </w:tcPr>
          <w:p>
            <w:pPr>
              <w:spacing w:lineRule="exact" w:line="600"/>
              <w:jc w:val="center"/>
            </w:pPr>
            <w:r/>
            <w:r>
              <w:rPr>
                <w:rFonts w:ascii="黑体" w:hAnsi="黑体" w:eastAsia="黑体"/>
                <w:b/>
                <w:color w:val="000000"/>
                <w:sz w:val="32"/>
              </w:rPr>
              <w:t>要素</w:t>
            </w:r>
          </w:p>
        </w:tc>
        <w:tc>
          <w:tcPr>
            <w:tcW w:type="dxa" w:w="2948"/>
          </w:tcPr>
          <w:p>
            <w:pPr>
              <w:spacing w:lineRule="exact" w:line="600"/>
              <w:jc w:val="center"/>
            </w:pPr>
            <w:r/>
            <w:r>
              <w:rPr>
                <w:rFonts w:ascii="黑体" w:hAnsi="黑体" w:eastAsia="黑体"/>
                <w:b/>
                <w:color w:val="000000"/>
                <w:sz w:val="32"/>
              </w:rPr>
              <w:t>披露情况</w:t>
            </w:r>
          </w:p>
        </w:tc>
        <w:tc>
          <w:tcPr>
            <w:tcW w:type="dxa" w:w="2948"/>
          </w:tcPr>
          <w:p>
            <w:pPr>
              <w:spacing w:lineRule="exact" w:line="600"/>
              <w:jc w:val="center"/>
            </w:pPr>
            <w:r/>
            <w:r>
              <w:rPr>
                <w:rFonts w:ascii="黑体" w:hAnsi="黑体" w:eastAsia="黑体"/>
                <w:b/>
                <w:color w:val="000000"/>
                <w:sz w:val="32"/>
              </w:rPr>
              <w:t>来源</w:t>
            </w:r>
          </w:p>
        </w:tc>
      </w:tr>
      <w:tr>
        <w:tc>
          <w:tcPr>
            <w:tcW w:type="dxa" w:w="2948"/>
          </w:tcPr>
          <w:p>
            <w:pPr>
              <w:spacing w:lineRule="exact" w:line="600"/>
              <w:jc w:val="center"/>
            </w:pPr>
            <w:r/>
            <w:r>
              <w:rPr>
                <w:rFonts w:ascii="仿宋_GB2312" w:hAnsi="仿宋_GB2312" w:eastAsia="仿宋_GB2312"/>
                <w:b w:val="0"/>
                <w:color w:val="000000"/>
                <w:sz w:val="32"/>
              </w:rPr>
              <w:t>占地面积</w:t>
            </w:r>
          </w:p>
        </w:tc>
        <w:tc>
          <w:tcPr>
            <w:tcW w:type="dxa" w:w="2948"/>
          </w:tcPr>
          <w:p>
            <w:pPr>
              <w:spacing w:lineRule="exact" w:line="600"/>
              <w:jc w:val="center"/>
            </w:pPr>
            <w:r/>
            <w:r>
              <w:rPr>
                <w:rFonts w:ascii="仿宋_GB2312" w:hAnsi="仿宋_GB2312" w:eastAsia="仿宋_GB2312"/>
                <w:b w:val="0"/>
                <w:color w:val="000000"/>
                <w:sz w:val="32"/>
              </w:rPr>
              <w:t>70余亩，约10万平方米</w:t>
            </w:r>
          </w:p>
        </w:tc>
        <w:tc>
          <w:tcPr>
            <w:tcW w:type="dxa" w:w="2948"/>
          </w:tcPr>
          <w:p>
            <w:pPr>
              <w:spacing w:lineRule="exact" w:line="600"/>
              <w:jc w:val="center"/>
            </w:pPr>
            <w:r/>
            <w:r>
              <w:rPr>
                <w:rFonts w:ascii="仿宋_GB2312" w:hAnsi="仿宋_GB2312" w:eastAsia="仿宋_GB2312"/>
                <w:b w:val="0"/>
                <w:color w:val="000000"/>
                <w:sz w:val="32"/>
              </w:rPr>
              <w:t>公司官网、县人社局公开信息</w:t>
            </w:r>
          </w:p>
        </w:tc>
      </w:tr>
      <w:tr>
        <w:tc>
          <w:tcPr>
            <w:tcW w:type="dxa" w:w="2948"/>
          </w:tcPr>
          <w:p>
            <w:pPr>
              <w:spacing w:lineRule="exact" w:line="600"/>
              <w:jc w:val="center"/>
            </w:pPr>
            <w:r/>
            <w:r>
              <w:rPr>
                <w:rFonts w:ascii="仿宋_GB2312" w:hAnsi="仿宋_GB2312" w:eastAsia="仿宋_GB2312"/>
                <w:b w:val="0"/>
                <w:color w:val="000000"/>
                <w:sz w:val="32"/>
              </w:rPr>
              <w:t>员工人数</w:t>
            </w:r>
          </w:p>
        </w:tc>
        <w:tc>
          <w:tcPr>
            <w:tcW w:type="dxa" w:w="2948"/>
          </w:tcPr>
          <w:p>
            <w:pPr>
              <w:spacing w:lineRule="exact" w:line="600"/>
              <w:jc w:val="center"/>
            </w:pPr>
            <w:r/>
            <w:r>
              <w:rPr>
                <w:rFonts w:ascii="仿宋_GB2312" w:hAnsi="仿宋_GB2312" w:eastAsia="仿宋_GB2312"/>
                <w:b w:val="0"/>
                <w:color w:val="000000"/>
                <w:sz w:val="32"/>
              </w:rPr>
              <w:t>200余人（企业口径）；参保38人（公示口径）</w:t>
            </w:r>
          </w:p>
        </w:tc>
        <w:tc>
          <w:tcPr>
            <w:tcW w:type="dxa" w:w="2948"/>
          </w:tcPr>
          <w:p>
            <w:pPr>
              <w:spacing w:lineRule="exact" w:line="600"/>
              <w:jc w:val="center"/>
            </w:pPr>
            <w:r/>
            <w:r>
              <w:rPr>
                <w:rFonts w:ascii="仿宋_GB2312" w:hAnsi="仿宋_GB2312" w:eastAsia="仿宋_GB2312"/>
                <w:b w:val="0"/>
                <w:color w:val="000000"/>
                <w:sz w:val="32"/>
              </w:rPr>
              <w:t>公司官网、工商公示</w:t>
            </w:r>
          </w:p>
        </w:tc>
      </w:tr>
      <w:tr>
        <w:tc>
          <w:tcPr>
            <w:tcW w:type="dxa" w:w="2948"/>
          </w:tcPr>
          <w:p>
            <w:pPr>
              <w:spacing w:lineRule="exact" w:line="600"/>
              <w:jc w:val="center"/>
            </w:pPr>
            <w:r/>
            <w:r>
              <w:rPr>
                <w:rFonts w:ascii="仿宋_GB2312" w:hAnsi="仿宋_GB2312" w:eastAsia="仿宋_GB2312"/>
                <w:b w:val="0"/>
                <w:color w:val="000000"/>
                <w:sz w:val="32"/>
              </w:rPr>
              <w:t>年产能</w:t>
            </w:r>
          </w:p>
        </w:tc>
        <w:tc>
          <w:tcPr>
            <w:tcW w:type="dxa" w:w="2948"/>
          </w:tcPr>
          <w:p>
            <w:pPr>
              <w:spacing w:lineRule="exact" w:line="600"/>
              <w:jc w:val="center"/>
            </w:pPr>
            <w:r/>
            <w:r>
              <w:rPr>
                <w:rFonts w:ascii="仿宋_GB2312" w:hAnsi="仿宋_GB2312" w:eastAsia="仿宋_GB2312"/>
                <w:b w:val="0"/>
                <w:color w:val="000000"/>
                <w:sz w:val="32"/>
              </w:rPr>
              <w:t>5000—6000吨</w:t>
            </w:r>
          </w:p>
        </w:tc>
        <w:tc>
          <w:tcPr>
            <w:tcW w:type="dxa" w:w="2948"/>
          </w:tcPr>
          <w:p>
            <w:pPr>
              <w:spacing w:lineRule="exact" w:line="600"/>
              <w:jc w:val="center"/>
            </w:pPr>
            <w:r/>
            <w:r>
              <w:rPr>
                <w:rFonts w:ascii="仿宋_GB2312" w:hAnsi="仿宋_GB2312" w:eastAsia="仿宋_GB2312"/>
                <w:b w:val="0"/>
                <w:color w:val="000000"/>
                <w:sz w:val="32"/>
              </w:rPr>
              <w:t>公司官网、县人社局公开信息</w:t>
            </w:r>
          </w:p>
        </w:tc>
      </w:tr>
      <w:tr>
        <w:tc>
          <w:tcPr>
            <w:tcW w:type="dxa" w:w="2948"/>
          </w:tcPr>
          <w:p>
            <w:pPr>
              <w:spacing w:lineRule="exact" w:line="600"/>
              <w:jc w:val="center"/>
            </w:pPr>
            <w:r/>
            <w:r>
              <w:rPr>
                <w:rFonts w:ascii="仿宋_GB2312" w:hAnsi="仿宋_GB2312" w:eastAsia="仿宋_GB2312"/>
                <w:b w:val="0"/>
                <w:color w:val="000000"/>
                <w:sz w:val="32"/>
              </w:rPr>
              <w:t>主要设备</w:t>
            </w:r>
          </w:p>
        </w:tc>
        <w:tc>
          <w:tcPr>
            <w:tcW w:type="dxa" w:w="2948"/>
          </w:tcPr>
          <w:p>
            <w:pPr>
              <w:spacing w:lineRule="exact" w:line="600"/>
              <w:jc w:val="center"/>
            </w:pPr>
            <w:r/>
            <w:r>
              <w:rPr>
                <w:rFonts w:ascii="仿宋_GB2312" w:hAnsi="仿宋_GB2312" w:eastAsia="仿宋_GB2312"/>
                <w:b w:val="0"/>
                <w:color w:val="000000"/>
                <w:sz w:val="32"/>
              </w:rPr>
              <w:t>拉丝机30余台，经编机110余台</w:t>
            </w:r>
          </w:p>
        </w:tc>
        <w:tc>
          <w:tcPr>
            <w:tcW w:type="dxa" w:w="2948"/>
          </w:tcPr>
          <w:p>
            <w:pPr>
              <w:spacing w:lineRule="exact" w:line="600"/>
              <w:jc w:val="center"/>
            </w:pPr>
            <w:r/>
            <w:r>
              <w:rPr>
                <w:rFonts w:ascii="仿宋_GB2312" w:hAnsi="仿宋_GB2312" w:eastAsia="仿宋_GB2312"/>
                <w:b w:val="0"/>
                <w:color w:val="000000"/>
                <w:sz w:val="32"/>
              </w:rPr>
              <w:t>县人社局公开信息</w:t>
            </w:r>
          </w:p>
        </w:tc>
      </w:tr>
      <w:tr>
        <w:tc>
          <w:tcPr>
            <w:tcW w:type="dxa" w:w="2948"/>
          </w:tcPr>
          <w:p>
            <w:pPr>
              <w:spacing w:lineRule="exact" w:line="600"/>
              <w:jc w:val="center"/>
            </w:pPr>
            <w:r/>
            <w:r>
              <w:rPr>
                <w:rFonts w:ascii="仿宋_GB2312" w:hAnsi="仿宋_GB2312" w:eastAsia="仿宋_GB2312"/>
                <w:b w:val="0"/>
                <w:color w:val="000000"/>
                <w:sz w:val="32"/>
              </w:rPr>
              <w:t>仓储设施</w:t>
            </w:r>
          </w:p>
        </w:tc>
        <w:tc>
          <w:tcPr>
            <w:tcW w:type="dxa" w:w="2948"/>
          </w:tcPr>
          <w:p>
            <w:pPr>
              <w:spacing w:lineRule="exact" w:line="600"/>
              <w:jc w:val="center"/>
            </w:pPr>
            <w:r/>
            <w:r>
              <w:rPr>
                <w:rFonts w:ascii="仿宋_GB2312" w:hAnsi="仿宋_GB2312" w:eastAsia="仿宋_GB2312"/>
                <w:b w:val="0"/>
                <w:color w:val="000000"/>
                <w:sz w:val="32"/>
              </w:rPr>
              <w:t>大型立体化成品仓库3个、原料仓库1个</w:t>
            </w:r>
          </w:p>
        </w:tc>
        <w:tc>
          <w:tcPr>
            <w:tcW w:type="dxa" w:w="2948"/>
          </w:tcPr>
          <w:p>
            <w:pPr>
              <w:spacing w:lineRule="exact" w:line="600"/>
              <w:jc w:val="center"/>
            </w:pPr>
            <w:r/>
            <w:r>
              <w:rPr>
                <w:rFonts w:ascii="仿宋_GB2312" w:hAnsi="仿宋_GB2312" w:eastAsia="仿宋_GB2312"/>
                <w:b w:val="0"/>
                <w:color w:val="000000"/>
                <w:sz w:val="32"/>
              </w:rPr>
              <w:t>县人社局公开信息</w:t>
            </w:r>
          </w:p>
        </w:tc>
      </w:tr>
      <w:tr>
        <w:tc>
          <w:tcPr>
            <w:tcW w:type="dxa" w:w="2948"/>
          </w:tcPr>
          <w:p>
            <w:pPr>
              <w:spacing w:lineRule="exact" w:line="600"/>
              <w:jc w:val="center"/>
            </w:pPr>
            <w:r/>
            <w:r>
              <w:rPr>
                <w:rFonts w:ascii="仿宋_GB2312" w:hAnsi="仿宋_GB2312" w:eastAsia="仿宋_GB2312"/>
                <w:b w:val="0"/>
                <w:color w:val="000000"/>
                <w:sz w:val="32"/>
              </w:rPr>
              <w:t>产品体系</w:t>
            </w:r>
          </w:p>
        </w:tc>
        <w:tc>
          <w:tcPr>
            <w:tcW w:type="dxa" w:w="2948"/>
          </w:tcPr>
          <w:p>
            <w:pPr>
              <w:spacing w:lineRule="exact" w:line="600"/>
              <w:jc w:val="center"/>
            </w:pPr>
            <w:r/>
            <w:r>
              <w:rPr>
                <w:rFonts w:ascii="仿宋_GB2312" w:hAnsi="仿宋_GB2312" w:eastAsia="仿宋_GB2312"/>
                <w:b w:val="0"/>
                <w:color w:val="000000"/>
                <w:sz w:val="32"/>
              </w:rPr>
              <w:t>7大类300余个品种（另有8大系列200余种表述）</w:t>
            </w:r>
          </w:p>
        </w:tc>
        <w:tc>
          <w:tcPr>
            <w:tcW w:type="dxa" w:w="2948"/>
          </w:tcPr>
          <w:p>
            <w:pPr>
              <w:spacing w:lineRule="exact" w:line="600"/>
              <w:jc w:val="center"/>
            </w:pPr>
            <w:r/>
            <w:r>
              <w:rPr>
                <w:rFonts w:ascii="仿宋_GB2312" w:hAnsi="仿宋_GB2312" w:eastAsia="仿宋_GB2312"/>
                <w:b w:val="0"/>
                <w:color w:val="000000"/>
                <w:sz w:val="32"/>
              </w:rPr>
              <w:t>公司官网、齐鲁网报道</w:t>
            </w:r>
          </w:p>
        </w:tc>
      </w:tr>
      <w:tr>
        <w:tc>
          <w:tcPr>
            <w:tcW w:type="dxa" w:w="2948"/>
          </w:tcPr>
          <w:p>
            <w:pPr>
              <w:spacing w:lineRule="exact" w:line="600"/>
              <w:jc w:val="center"/>
            </w:pPr>
            <w:r/>
            <w:r>
              <w:rPr>
                <w:rFonts w:ascii="仿宋_GB2312" w:hAnsi="仿宋_GB2312" w:eastAsia="仿宋_GB2312"/>
                <w:b w:val="0"/>
                <w:color w:val="000000"/>
                <w:sz w:val="32"/>
              </w:rPr>
              <w:t>出口市场</w:t>
            </w:r>
          </w:p>
        </w:tc>
        <w:tc>
          <w:tcPr>
            <w:tcW w:type="dxa" w:w="2948"/>
          </w:tcPr>
          <w:p>
            <w:pPr>
              <w:spacing w:lineRule="exact" w:line="600"/>
              <w:jc w:val="center"/>
            </w:pPr>
            <w:r/>
            <w:r>
              <w:rPr>
                <w:rFonts w:ascii="仿宋_GB2312" w:hAnsi="仿宋_GB2312" w:eastAsia="仿宋_GB2312"/>
                <w:b w:val="0"/>
                <w:color w:val="000000"/>
                <w:sz w:val="32"/>
              </w:rPr>
              <w:t>68个至80余个国家和地区（不同时点口径）</w:t>
            </w:r>
          </w:p>
        </w:tc>
        <w:tc>
          <w:tcPr>
            <w:tcW w:type="dxa" w:w="2948"/>
          </w:tcPr>
          <w:p>
            <w:pPr>
              <w:spacing w:lineRule="exact" w:line="600"/>
              <w:jc w:val="center"/>
            </w:pPr>
            <w:r/>
            <w:r>
              <w:rPr>
                <w:rFonts w:ascii="仿宋_GB2312" w:hAnsi="仿宋_GB2312" w:eastAsia="仿宋_GB2312"/>
                <w:b w:val="0"/>
                <w:color w:val="000000"/>
                <w:sz w:val="32"/>
              </w:rPr>
              <w:t>公司官网、县人社局公开信息</w:t>
            </w:r>
          </w:p>
        </w:tc>
      </w:tr>
    </w:tbl>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（一）主营业务与产品结构</w:t>
      </w:r>
    </w:p>
    <w:p>
      <w:pPr>
        <w:spacing w:lineRule="exact" w:line="600" w:before="0" w:after="0"/>
        <w:ind w:firstLine="420"/>
        <w:jc w:val="both"/>
      </w:pPr>
      <w:r>
        <w:rPr>
          <w:rFonts w:ascii="仿宋_GB2312" w:hAnsi="仿宋_GB2312" w:eastAsia="仿宋_GB2312"/>
          <w:b w:val="0"/>
          <w:color w:val="000000"/>
          <w:sz w:val="32"/>
        </w:rPr>
        <w:t>公司产品体系覆盖建筑用网、农业用网、休闲旅游网、体育用网、园艺用网、养殖用网和防护网等大类，官网表述为六至七大类300多个品种，齐鲁网2025年8月报道则表述为"8大系列200多种产品，覆盖军工、航天、农业、家居、建筑、劳保、养殖等海陆空各个方面"。两种口径的差异反映了公司产品目录处于持续调整之中，近年新兴品类（如深海养殖网、军事用网、防雾霾网）正在替代部分传统低端品类。</w:t>
      </w:r>
    </w:p>
    <w:p>
      <w:pPr>
        <w:spacing w:lineRule="exact" w:line="600" w:before="0" w:after="0"/>
        <w:ind w:firstLine="420"/>
        <w:jc w:val="both"/>
      </w:pPr>
      <w:r>
        <w:rPr>
          <w:rFonts w:ascii="仿宋_GB2312" w:hAnsi="仿宋_GB2312" w:eastAsia="仿宋_GB2312"/>
          <w:b w:val="0"/>
          <w:color w:val="000000"/>
          <w:sz w:val="32"/>
        </w:rPr>
        <w:t>从具体品种看，公司官网展示的主打产品包括无结货物网（Knotless Cargo Net）、园艺收纳袋（Garden Bag）、车篷网、多彩遮阳网、蓝白条遮阳网、防护网、建筑安全网、圆丝遮阳网等。其中建筑安全网是公司起家的传统主业，遮阳网是近年重点开拓的出口拳头产品，园艺类和运输类产品则体现了公司向消费端和物流场景延伸的努力。</w:t>
      </w:r>
    </w:p>
    <w:p>
      <w:pPr>
        <w:spacing w:lineRule="exact" w:line="600" w:before="0" w:after="0"/>
        <w:ind w:firstLine="420"/>
        <w:jc w:val="both"/>
      </w:pPr>
      <w:r>
        <w:rPr>
          <w:rFonts w:ascii="仿宋_GB2312" w:hAnsi="仿宋_GB2312" w:eastAsia="仿宋_GB2312"/>
          <w:b w:val="0"/>
          <w:color w:val="000000"/>
          <w:sz w:val="32"/>
        </w:rPr>
        <w:t>产品结构调整的动因十分明确。齐鲁网报道援引公司办公室主任李书峰的说法：金冠网具最初以生产建筑用网为主，随着国内建筑市场饱和，企业陷入发展阵痛期，不得不跳出舒适区，把出口遮阳网作为转型方向之一。国内普通遮阳网"经过一个夏天基本上就晒坏了，晒酥了，用手一去触摸就碎了"，而公司通过研究抗紫外线助剂的科学添加比例，将产品使用年限从一年延长到五年，从而打开了中东、欧美市场。这一案例是绳网产业由"以量取胜"转向"以质取胜"的典型样本。</w:t>
      </w:r>
    </w:p>
    <w:p>
      <w:pPr>
        <w:spacing w:lineRule="exact" w:line="600" w:before="120" w:after="120"/>
        <w:ind w:firstLine="420"/>
        <w:jc w:val="left"/>
      </w:pPr>
      <w:r>
        <w:rPr>
          <w:rFonts w:ascii="楷体_GB2312" w:hAnsi="楷体_GB2312" w:eastAsia="楷体_GB2312"/>
          <w:b w:val="0"/>
          <w:color w:val="000000"/>
          <w:sz w:val="32"/>
        </w:rPr>
        <w:t>（二）市场地位与客户结构</w:t>
      </w:r>
    </w:p>
    <w:p>
      <w:pPr>
        <w:spacing w:lineRule="exact" w:line="600" w:before="0" w:after="0"/>
        <w:ind w:firstLine="420"/>
        <w:jc w:val="both"/>
      </w:pPr>
      <w:r>
        <w:rPr>
          <w:rFonts w:ascii="仿宋_GB2312" w:hAnsi="仿宋_GB2312" w:eastAsia="仿宋_GB2312"/>
          <w:b w:val="0"/>
          <w:color w:val="000000"/>
          <w:sz w:val="32"/>
        </w:rPr>
        <w:t>公司被当地政府与主流媒体一致定位为惠民绳网产业的龙头企业，官网亦以"绳网之都龙头企业""国标网制定生产厂家"作为核心宣传点。在全国绳网市场占有率约80%集中于惠民一县的格局下，公司作为县域内规模最大、资质最全的企业之一，其行业地位具有较强的说服力。</w:t>
      </w:r>
    </w:p>
    <w:p>
      <w:pPr>
        <w:spacing w:lineRule="exact" w:line="600" w:before="0" w:after="0"/>
        <w:ind w:firstLine="420"/>
        <w:jc w:val="both"/>
      </w:pPr>
      <w:r>
        <w:rPr>
          <w:rFonts w:ascii="仿宋_GB2312" w:hAnsi="仿宋_GB2312" w:eastAsia="仿宋_GB2312"/>
          <w:b w:val="0"/>
          <w:color w:val="000000"/>
          <w:sz w:val="32"/>
        </w:rPr>
        <w:t>客户结构上，公司实行内外贸并重策略。国际市场方面，产品出口美国、德国、澳大利亚、阿联酋等国家和地区，官网表述为"80多个国家和地区"，县人社局2025年公开信息表述为"68多个国家和地区"，两者差异可能源于统计时点与统计口径（累计出口国 vs 当期有订单国）不同。2025年公司参加广交会后，订单排至当年10月左右，基本处于满负荷生产状态，显示其海外渠道具备较强的持续获客能力。</w:t>
      </w:r>
    </w:p>
    <w:p>
      <w:pPr>
        <w:spacing w:lineRule="exact" w:line="600" w:before="0" w:after="0"/>
        <w:ind w:firstLine="420"/>
        <w:jc w:val="both"/>
      </w:pPr>
      <w:r>
        <w:rPr>
          <w:rFonts w:ascii="仿宋_GB2312" w:hAnsi="仿宋_GB2312" w:eastAsia="仿宋_GB2312"/>
          <w:b w:val="0"/>
          <w:color w:val="000000"/>
          <w:sz w:val="32"/>
        </w:rPr>
        <w:t>国内市场方面，公司产品广泛应用于建筑施工、农业设施、园林绿化、体育休闲、水产养殖、货物运输等领域，客户以经销商、工程施工单位、农业合作社为主。公司同时紧跟"互联网+"发展步伐，与阿里巴巴国际站、阿里巴巴国内站、亚马逊商城以及淘宝网等主流采购批发销售平台合作，构建了线上线下相结合的营销体系。据天眼查统计，公司参与招投标项目23次，说明其在政府采购与工程配套渠道亦有一定参与度。</w:t>
      </w:r>
    </w:p>
    <w:p>
      <w:pPr>
        <w:spacing w:lineRule="exact" w:line="600" w:before="120" w:after="120"/>
        <w:ind w:firstLine="420"/>
        <w:jc w:val="left"/>
      </w:pPr>
      <w:r>
        <w:rPr>
          <w:rFonts w:ascii="楷体_GB2312" w:hAnsi="楷体_GB2312" w:eastAsia="楷体_GB2312"/>
          <w:b w:val="0"/>
          <w:color w:val="000000"/>
          <w:sz w:val="32"/>
        </w:rPr>
        <w:t>（三）研发能力与技术积累</w:t>
      </w:r>
    </w:p>
    <w:p>
      <w:pPr>
        <w:spacing w:lineRule="exact" w:line="600" w:before="0" w:after="0"/>
        <w:ind w:firstLine="420"/>
        <w:jc w:val="both"/>
      </w:pPr>
      <w:r>
        <w:rPr>
          <w:rFonts w:ascii="仿宋_GB2312" w:hAnsi="仿宋_GB2312" w:eastAsia="仿宋_GB2312"/>
          <w:b w:val="0"/>
          <w:color w:val="000000"/>
          <w:sz w:val="32"/>
        </w:rPr>
        <w:t>公司在2014年被认定为高新技术企业和省级企业技术中心，具备较为完整的研发组织与实验条件。官网披露其拥有抗冲击试验、防老化试验、阻燃试验、贯穿试验等检测能力，这些正是安全网类产品国家标准（如GB 5725《安全网》）所要求的关键性能项目，自有检测能力对于快速迭代配方、稳定产品质量具有实质意义。</w:t>
      </w:r>
    </w:p>
    <w:p>
      <w:pPr>
        <w:spacing w:lineRule="exact" w:line="600" w:before="0" w:after="0"/>
        <w:ind w:firstLine="420"/>
        <w:jc w:val="both"/>
      </w:pPr>
      <w:r>
        <w:rPr>
          <w:rFonts w:ascii="仿宋_GB2312" w:hAnsi="仿宋_GB2312" w:eastAsia="仿宋_GB2312"/>
          <w:b w:val="0"/>
          <w:color w:val="000000"/>
          <w:sz w:val="32"/>
        </w:rPr>
        <w:t>知识产权方面，据天眼查大数据统计，公司拥有商标信息91条、专利信息99条、著作权信息2条，行政许可14个。行业网站披露公司已自主研发产品20余种，申请发明专利、实用新型专利35项，参与并起草制定行业标准3项，牵头制定全国"盖土抑尘网"标准。牵头制定全国性标准是企业技术话语权的直接体现，也构成其"国标网制定生产厂家"宣传定位的事实基础。</w:t>
      </w:r>
    </w:p>
    <w:p>
      <w:pPr>
        <w:spacing w:lineRule="exact" w:line="600" w:before="0" w:after="0"/>
        <w:ind w:firstLine="420"/>
        <w:jc w:val="both"/>
      </w:pPr>
      <w:r>
        <w:rPr>
          <w:rFonts w:ascii="仿宋_GB2312" w:hAnsi="仿宋_GB2312" w:eastAsia="仿宋_GB2312"/>
          <w:b w:val="0"/>
          <w:color w:val="000000"/>
          <w:sz w:val="32"/>
        </w:rPr>
        <w:t>产学研合作方面，公司于2013年与东华大学签署全面战略合作协议，共建合作平台、共同开展高新技术课题研究。东华大学在纺织材料与产业用纺织品领域具有全国领先的学科地位，这一合作对公司在超高分子量聚乙烯纤维应用、阻燃抗老化配方、新型编织结构等方向的技术突破具有支撑作用。当地政府亦在集群层面推动与中国科学院相关院所共建产学研基地，攻关超高分子量聚乙烯纤维等"卡脖子"技术，公司作为龙头企业是主要受益方。</w:t>
      </w:r>
    </w:p>
    <w:p>
      <w:pPr>
        <w:spacing w:lineRule="exact" w:line="600" w:before="0" w:after="0"/>
        <w:ind w:firstLine="420"/>
        <w:jc w:val="both"/>
      </w:pPr>
      <w:r>
        <w:rPr>
          <w:rFonts w:ascii="仿宋_GB2312" w:hAnsi="仿宋_GB2312" w:eastAsia="仿宋_GB2312"/>
          <w:b w:val="0"/>
          <w:color w:val="000000"/>
          <w:sz w:val="32"/>
        </w:rPr>
        <w:t>技术升级方向上，公司明确致力于阻燃、抗老化安全网的新结构、新材料、新工艺研发，并向深海养殖网、军事用网、防雾霾网等新兴高端领域拓展，以产品高端化、智能化助推绳网产业新旧动能转换。这一方向与国家关于产业用纺织品高质量发展的政策导向以及海洋牧场、深远海养殖等新兴市场需求高度契合。</w:t>
      </w:r>
    </w:p>
    <w:p>
      <w:pPr>
        <w:spacing w:lineRule="exact" w:line="600" w:before="120" w:after="120"/>
        <w:ind w:firstLine="420"/>
        <w:jc w:val="left"/>
      </w:pPr>
      <w:r>
        <w:rPr>
          <w:rFonts w:ascii="楷体_GB2312" w:hAnsi="楷体_GB2312" w:eastAsia="楷体_GB2312"/>
          <w:b w:val="0"/>
          <w:color w:val="000000"/>
          <w:sz w:val="32"/>
        </w:rPr>
        <w:t>（四）资质认证与品牌荣誉</w:t>
      </w:r>
    </w:p>
    <w:tbl>
      <w:tblPr>
        <w:tblStyle w:val="TableGrid"/>
        <w:tblW w:type="auto" w:w="0"/>
        <w:jc w:val="center"/>
        <w:tblLook w:firstColumn="1" w:firstRow="1" w:lastColumn="0" w:lastRow="0" w:noHBand="0" w:noVBand="1" w:val="04A0"/>
      </w:tblPr>
      <w:tblGrid>
        <w:gridCol w:w="2948"/>
        <w:gridCol w:w="2948"/>
        <w:gridCol w:w="2948"/>
      </w:tblGrid>
      <w:tr>
        <w:tc>
          <w:tcPr>
            <w:tcW w:type="dxa" w:w="2948"/>
          </w:tcPr>
          <w:p>
            <w:pPr>
              <w:spacing w:lineRule="exact" w:line="600"/>
              <w:jc w:val="center"/>
            </w:pPr>
            <w:r/>
            <w:r>
              <w:rPr>
                <w:rFonts w:ascii="黑体" w:hAnsi="黑体" w:eastAsia="黑体"/>
                <w:b/>
                <w:color w:val="000000"/>
                <w:sz w:val="32"/>
              </w:rPr>
              <w:t>年份</w:t>
            </w:r>
          </w:p>
        </w:tc>
        <w:tc>
          <w:tcPr>
            <w:tcW w:type="dxa" w:w="2948"/>
          </w:tcPr>
          <w:p>
            <w:pPr>
              <w:spacing w:lineRule="exact" w:line="600"/>
              <w:jc w:val="center"/>
            </w:pPr>
            <w:r/>
            <w:r>
              <w:rPr>
                <w:rFonts w:ascii="黑体" w:hAnsi="黑体" w:eastAsia="黑体"/>
                <w:b/>
                <w:color w:val="000000"/>
                <w:sz w:val="32"/>
              </w:rPr>
              <w:t>资质或荣誉</w:t>
            </w:r>
          </w:p>
        </w:tc>
        <w:tc>
          <w:tcPr>
            <w:tcW w:type="dxa" w:w="2948"/>
          </w:tcPr>
          <w:p>
            <w:pPr>
              <w:spacing w:lineRule="exact" w:line="600"/>
              <w:jc w:val="center"/>
            </w:pPr>
            <w:r/>
            <w:r>
              <w:rPr>
                <w:rFonts w:ascii="黑体" w:hAnsi="黑体" w:eastAsia="黑体"/>
                <w:b/>
                <w:color w:val="000000"/>
                <w:sz w:val="32"/>
              </w:rPr>
              <w:t>授予/认证主体</w:t>
            </w:r>
          </w:p>
        </w:tc>
      </w:tr>
      <w:tr>
        <w:tc>
          <w:tcPr>
            <w:tcW w:type="dxa" w:w="2948"/>
          </w:tcPr>
          <w:p>
            <w:pPr>
              <w:spacing w:lineRule="exact" w:line="600"/>
              <w:jc w:val="center"/>
            </w:pPr>
            <w:r/>
            <w:r>
              <w:rPr>
                <w:rFonts w:ascii="仿宋_GB2312" w:hAnsi="仿宋_GB2312" w:eastAsia="仿宋_GB2312"/>
                <w:b w:val="0"/>
                <w:color w:val="000000"/>
                <w:sz w:val="32"/>
              </w:rPr>
              <w:t>2008年</w:t>
            </w:r>
          </w:p>
        </w:tc>
        <w:tc>
          <w:tcPr>
            <w:tcW w:type="dxa" w:w="2948"/>
          </w:tcPr>
          <w:p>
            <w:pPr>
              <w:spacing w:lineRule="exact" w:line="600"/>
              <w:jc w:val="center"/>
            </w:pPr>
            <w:r/>
            <w:r>
              <w:rPr>
                <w:rFonts w:ascii="仿宋_GB2312" w:hAnsi="仿宋_GB2312" w:eastAsia="仿宋_GB2312"/>
                <w:b w:val="0"/>
                <w:color w:val="000000"/>
                <w:sz w:val="32"/>
              </w:rPr>
              <w:t>获得自营进出口权</w:t>
            </w:r>
          </w:p>
        </w:tc>
        <w:tc>
          <w:tcPr>
            <w:tcW w:type="dxa" w:w="2948"/>
          </w:tcPr>
          <w:p>
            <w:pPr>
              <w:spacing w:lineRule="exact" w:line="600"/>
              <w:jc w:val="center"/>
            </w:pPr>
            <w:r/>
            <w:r>
              <w:rPr>
                <w:rFonts w:ascii="仿宋_GB2312" w:hAnsi="仿宋_GB2312" w:eastAsia="仿宋_GB2312"/>
                <w:b w:val="0"/>
                <w:color w:val="000000"/>
                <w:sz w:val="32"/>
              </w:rPr>
              <w:t>主管部门核准</w:t>
            </w:r>
          </w:p>
        </w:tc>
      </w:tr>
      <w:tr>
        <w:tc>
          <w:tcPr>
            <w:tcW w:type="dxa" w:w="2948"/>
          </w:tcPr>
          <w:p>
            <w:pPr>
              <w:spacing w:lineRule="exact" w:line="600"/>
              <w:jc w:val="center"/>
            </w:pPr>
            <w:r/>
            <w:r>
              <w:rPr>
                <w:rFonts w:ascii="仿宋_GB2312" w:hAnsi="仿宋_GB2312" w:eastAsia="仿宋_GB2312"/>
                <w:b w:val="0"/>
                <w:color w:val="000000"/>
                <w:sz w:val="32"/>
              </w:rPr>
              <w:t>2011年</w:t>
            </w:r>
          </w:p>
        </w:tc>
        <w:tc>
          <w:tcPr>
            <w:tcW w:type="dxa" w:w="2948"/>
          </w:tcPr>
          <w:p>
            <w:pPr>
              <w:spacing w:lineRule="exact" w:line="600"/>
              <w:jc w:val="center"/>
            </w:pPr>
            <w:r/>
            <w:r>
              <w:rPr>
                <w:rFonts w:ascii="仿宋_GB2312" w:hAnsi="仿宋_GB2312" w:eastAsia="仿宋_GB2312"/>
                <w:b w:val="0"/>
                <w:color w:val="000000"/>
                <w:sz w:val="32"/>
              </w:rPr>
              <w:t>"金冠"牌产品获山东省名牌</w:t>
            </w:r>
          </w:p>
        </w:tc>
        <w:tc>
          <w:tcPr>
            <w:tcW w:type="dxa" w:w="2948"/>
          </w:tcPr>
          <w:p>
            <w:pPr>
              <w:spacing w:lineRule="exact" w:line="600"/>
              <w:jc w:val="center"/>
            </w:pPr>
            <w:r/>
            <w:r>
              <w:rPr>
                <w:rFonts w:ascii="仿宋_GB2312" w:hAnsi="仿宋_GB2312" w:eastAsia="仿宋_GB2312"/>
                <w:b w:val="0"/>
                <w:color w:val="000000"/>
                <w:sz w:val="32"/>
              </w:rPr>
              <w:t>山东省名牌战略推进委员会</w:t>
            </w:r>
          </w:p>
        </w:tc>
      </w:tr>
      <w:tr>
        <w:tc>
          <w:tcPr>
            <w:tcW w:type="dxa" w:w="2948"/>
          </w:tcPr>
          <w:p>
            <w:pPr>
              <w:spacing w:lineRule="exact" w:line="600"/>
              <w:jc w:val="center"/>
            </w:pPr>
            <w:r/>
            <w:r>
              <w:rPr>
                <w:rFonts w:ascii="仿宋_GB2312" w:hAnsi="仿宋_GB2312" w:eastAsia="仿宋_GB2312"/>
                <w:b w:val="0"/>
                <w:color w:val="000000"/>
                <w:sz w:val="32"/>
              </w:rPr>
              <w:t>—</w:t>
            </w:r>
          </w:p>
        </w:tc>
        <w:tc>
          <w:tcPr>
            <w:tcW w:type="dxa" w:w="2948"/>
          </w:tcPr>
          <w:p>
            <w:pPr>
              <w:spacing w:lineRule="exact" w:line="600"/>
              <w:jc w:val="center"/>
            </w:pPr>
            <w:r/>
            <w:r>
              <w:rPr>
                <w:rFonts w:ascii="仿宋_GB2312" w:hAnsi="仿宋_GB2312" w:eastAsia="仿宋_GB2312"/>
                <w:b w:val="0"/>
                <w:color w:val="000000"/>
                <w:sz w:val="32"/>
              </w:rPr>
              <w:t>ISO9001:2008质量管理体系认证</w:t>
            </w:r>
          </w:p>
        </w:tc>
        <w:tc>
          <w:tcPr>
            <w:tcW w:type="dxa" w:w="2948"/>
          </w:tcPr>
          <w:p>
            <w:pPr>
              <w:spacing w:lineRule="exact" w:line="600"/>
              <w:jc w:val="center"/>
            </w:pPr>
            <w:r/>
            <w:r>
              <w:rPr>
                <w:rFonts w:ascii="仿宋_GB2312" w:hAnsi="仿宋_GB2312" w:eastAsia="仿宋_GB2312"/>
                <w:b w:val="0"/>
                <w:color w:val="000000"/>
                <w:sz w:val="32"/>
              </w:rPr>
              <w:t>第三方认证机构</w:t>
            </w:r>
          </w:p>
        </w:tc>
      </w:tr>
      <w:tr>
        <w:tc>
          <w:tcPr>
            <w:tcW w:type="dxa" w:w="2948"/>
          </w:tcPr>
          <w:p>
            <w:pPr>
              <w:spacing w:lineRule="exact" w:line="600"/>
              <w:jc w:val="center"/>
            </w:pPr>
            <w:r/>
            <w:r>
              <w:rPr>
                <w:rFonts w:ascii="仿宋_GB2312" w:hAnsi="仿宋_GB2312" w:eastAsia="仿宋_GB2312"/>
                <w:b w:val="0"/>
                <w:color w:val="000000"/>
                <w:sz w:val="32"/>
              </w:rPr>
              <w:t>—</w:t>
            </w:r>
          </w:p>
        </w:tc>
        <w:tc>
          <w:tcPr>
            <w:tcW w:type="dxa" w:w="2948"/>
          </w:tcPr>
          <w:p>
            <w:pPr>
              <w:spacing w:lineRule="exact" w:line="600"/>
              <w:jc w:val="center"/>
            </w:pPr>
            <w:r/>
            <w:r>
              <w:rPr>
                <w:rFonts w:ascii="仿宋_GB2312" w:hAnsi="仿宋_GB2312" w:eastAsia="仿宋_GB2312"/>
                <w:b w:val="0"/>
                <w:color w:val="000000"/>
                <w:sz w:val="32"/>
              </w:rPr>
              <w:t>GB/T28001-2011职业健康安全管理体系认证</w:t>
            </w:r>
          </w:p>
        </w:tc>
        <w:tc>
          <w:tcPr>
            <w:tcW w:type="dxa" w:w="2948"/>
          </w:tcPr>
          <w:p>
            <w:pPr>
              <w:spacing w:lineRule="exact" w:line="600"/>
              <w:jc w:val="center"/>
            </w:pPr>
            <w:r/>
            <w:r>
              <w:rPr>
                <w:rFonts w:ascii="仿宋_GB2312" w:hAnsi="仿宋_GB2312" w:eastAsia="仿宋_GB2312"/>
                <w:b w:val="0"/>
                <w:color w:val="000000"/>
                <w:sz w:val="32"/>
              </w:rPr>
              <w:t>第三方认证机构</w:t>
            </w:r>
          </w:p>
        </w:tc>
      </w:tr>
      <w:tr>
        <w:tc>
          <w:tcPr>
            <w:tcW w:type="dxa" w:w="2948"/>
          </w:tcPr>
          <w:p>
            <w:pPr>
              <w:spacing w:lineRule="exact" w:line="600"/>
              <w:jc w:val="center"/>
            </w:pPr>
            <w:r/>
            <w:r>
              <w:rPr>
                <w:rFonts w:ascii="仿宋_GB2312" w:hAnsi="仿宋_GB2312" w:eastAsia="仿宋_GB2312"/>
                <w:b w:val="0"/>
                <w:color w:val="000000"/>
                <w:sz w:val="32"/>
              </w:rPr>
              <w:t>—</w:t>
            </w:r>
          </w:p>
        </w:tc>
        <w:tc>
          <w:tcPr>
            <w:tcW w:type="dxa" w:w="2948"/>
          </w:tcPr>
          <w:p>
            <w:pPr>
              <w:spacing w:lineRule="exact" w:line="600"/>
              <w:jc w:val="center"/>
            </w:pPr>
            <w:r/>
            <w:r>
              <w:rPr>
                <w:rFonts w:ascii="仿宋_GB2312" w:hAnsi="仿宋_GB2312" w:eastAsia="仿宋_GB2312"/>
                <w:b w:val="0"/>
                <w:color w:val="000000"/>
                <w:sz w:val="32"/>
              </w:rPr>
              <w:t>欧洲REACH TUV认证</w:t>
            </w:r>
          </w:p>
        </w:tc>
        <w:tc>
          <w:tcPr>
            <w:tcW w:type="dxa" w:w="2948"/>
          </w:tcPr>
          <w:p>
            <w:pPr>
              <w:spacing w:lineRule="exact" w:line="600"/>
              <w:jc w:val="center"/>
            </w:pPr>
            <w:r/>
            <w:r>
              <w:rPr>
                <w:rFonts w:ascii="仿宋_GB2312" w:hAnsi="仿宋_GB2312" w:eastAsia="仿宋_GB2312"/>
                <w:b w:val="0"/>
                <w:color w:val="000000"/>
                <w:sz w:val="32"/>
              </w:rPr>
              <w:t>TÜV</w:t>
            </w:r>
          </w:p>
        </w:tc>
      </w:tr>
      <w:tr>
        <w:tc>
          <w:tcPr>
            <w:tcW w:type="dxa" w:w="2948"/>
          </w:tcPr>
          <w:p>
            <w:pPr>
              <w:spacing w:lineRule="exact" w:line="600"/>
              <w:jc w:val="center"/>
            </w:pPr>
            <w:r/>
            <w:r>
              <w:rPr>
                <w:rFonts w:ascii="仿宋_GB2312" w:hAnsi="仿宋_GB2312" w:eastAsia="仿宋_GB2312"/>
                <w:b w:val="0"/>
                <w:color w:val="000000"/>
                <w:sz w:val="32"/>
              </w:rPr>
              <w:t>2012年</w:t>
            </w:r>
          </w:p>
        </w:tc>
        <w:tc>
          <w:tcPr>
            <w:tcW w:type="dxa" w:w="2948"/>
          </w:tcPr>
          <w:p>
            <w:pPr>
              <w:spacing w:lineRule="exact" w:line="600"/>
              <w:jc w:val="center"/>
            </w:pPr>
            <w:r/>
            <w:r>
              <w:rPr>
                <w:rFonts w:ascii="仿宋_GB2312" w:hAnsi="仿宋_GB2312" w:eastAsia="仿宋_GB2312"/>
                <w:b w:val="0"/>
                <w:color w:val="000000"/>
                <w:sz w:val="32"/>
              </w:rPr>
              <w:t>"金冠"商标获山东省著名商标</w:t>
            </w:r>
          </w:p>
        </w:tc>
        <w:tc>
          <w:tcPr>
            <w:tcW w:type="dxa" w:w="2948"/>
          </w:tcPr>
          <w:p>
            <w:pPr>
              <w:spacing w:lineRule="exact" w:line="600"/>
              <w:jc w:val="center"/>
            </w:pPr>
            <w:r/>
            <w:r>
              <w:rPr>
                <w:rFonts w:ascii="仿宋_GB2312" w:hAnsi="仿宋_GB2312" w:eastAsia="仿宋_GB2312"/>
                <w:b w:val="0"/>
                <w:color w:val="000000"/>
                <w:sz w:val="32"/>
              </w:rPr>
              <w:t>山东省工商行政管理局</w:t>
            </w:r>
          </w:p>
        </w:tc>
      </w:tr>
      <w:tr>
        <w:tc>
          <w:tcPr>
            <w:tcW w:type="dxa" w:w="2948"/>
          </w:tcPr>
          <w:p>
            <w:pPr>
              <w:spacing w:lineRule="exact" w:line="600"/>
              <w:jc w:val="center"/>
            </w:pPr>
            <w:r/>
            <w:r>
              <w:rPr>
                <w:rFonts w:ascii="仿宋_GB2312" w:hAnsi="仿宋_GB2312" w:eastAsia="仿宋_GB2312"/>
                <w:b w:val="0"/>
                <w:color w:val="000000"/>
                <w:sz w:val="32"/>
              </w:rPr>
              <w:t>2014年</w:t>
            </w:r>
          </w:p>
        </w:tc>
        <w:tc>
          <w:tcPr>
            <w:tcW w:type="dxa" w:w="2948"/>
          </w:tcPr>
          <w:p>
            <w:pPr>
              <w:spacing w:lineRule="exact" w:line="600"/>
              <w:jc w:val="center"/>
            </w:pPr>
            <w:r/>
            <w:r>
              <w:rPr>
                <w:rFonts w:ascii="仿宋_GB2312" w:hAnsi="仿宋_GB2312" w:eastAsia="仿宋_GB2312"/>
                <w:b w:val="0"/>
                <w:color w:val="000000"/>
                <w:sz w:val="32"/>
              </w:rPr>
              <w:t>高新技术企业、省级企业技术中心</w:t>
            </w:r>
          </w:p>
        </w:tc>
        <w:tc>
          <w:tcPr>
            <w:tcW w:type="dxa" w:w="2948"/>
          </w:tcPr>
          <w:p>
            <w:pPr>
              <w:spacing w:lineRule="exact" w:line="600"/>
              <w:jc w:val="center"/>
            </w:pPr>
            <w:r/>
            <w:r>
              <w:rPr>
                <w:rFonts w:ascii="仿宋_GB2312" w:hAnsi="仿宋_GB2312" w:eastAsia="仿宋_GB2312"/>
                <w:b w:val="0"/>
                <w:color w:val="000000"/>
                <w:sz w:val="32"/>
              </w:rPr>
              <w:t>省科技厅、省发改委等</w:t>
            </w:r>
          </w:p>
        </w:tc>
      </w:tr>
      <w:tr>
        <w:tc>
          <w:tcPr>
            <w:tcW w:type="dxa" w:w="2948"/>
          </w:tcPr>
          <w:p>
            <w:pPr>
              <w:spacing w:lineRule="exact" w:line="600"/>
              <w:jc w:val="center"/>
            </w:pPr>
            <w:r/>
            <w:r>
              <w:rPr>
                <w:rFonts w:ascii="仿宋_GB2312" w:hAnsi="仿宋_GB2312" w:eastAsia="仿宋_GB2312"/>
                <w:b w:val="0"/>
                <w:color w:val="000000"/>
                <w:sz w:val="32"/>
              </w:rPr>
              <w:t>2016年</w:t>
            </w:r>
          </w:p>
        </w:tc>
        <w:tc>
          <w:tcPr>
            <w:tcW w:type="dxa" w:w="2948"/>
          </w:tcPr>
          <w:p>
            <w:pPr>
              <w:spacing w:lineRule="exact" w:line="600"/>
              <w:jc w:val="center"/>
            </w:pPr>
            <w:r/>
            <w:r>
              <w:rPr>
                <w:rFonts w:ascii="仿宋_GB2312" w:hAnsi="仿宋_GB2312" w:eastAsia="仿宋_GB2312"/>
                <w:b w:val="0"/>
                <w:color w:val="000000"/>
                <w:sz w:val="32"/>
              </w:rPr>
              <w:t>注册欧盟28个国家和地区马德里商标</w:t>
            </w:r>
          </w:p>
        </w:tc>
        <w:tc>
          <w:tcPr>
            <w:tcW w:type="dxa" w:w="2948"/>
          </w:tcPr>
          <w:p>
            <w:pPr>
              <w:spacing w:lineRule="exact" w:line="600"/>
              <w:jc w:val="center"/>
            </w:pPr>
            <w:r/>
            <w:r>
              <w:rPr>
                <w:rFonts w:ascii="仿宋_GB2312" w:hAnsi="仿宋_GB2312" w:eastAsia="仿宋_GB2312"/>
                <w:b w:val="0"/>
                <w:color w:val="000000"/>
                <w:sz w:val="32"/>
              </w:rPr>
              <w:t>国际商标注册体系</w:t>
            </w:r>
          </w:p>
        </w:tc>
      </w:tr>
      <w:tr>
        <w:tc>
          <w:tcPr>
            <w:tcW w:type="dxa" w:w="2948"/>
          </w:tcPr>
          <w:p>
            <w:pPr>
              <w:spacing w:lineRule="exact" w:line="600"/>
              <w:jc w:val="center"/>
            </w:pPr>
            <w:r/>
            <w:r>
              <w:rPr>
                <w:rFonts w:ascii="仿宋_GB2312" w:hAnsi="仿宋_GB2312" w:eastAsia="仿宋_GB2312"/>
                <w:b w:val="0"/>
                <w:color w:val="000000"/>
                <w:sz w:val="32"/>
              </w:rPr>
              <w:t>2017年</w:t>
            </w:r>
          </w:p>
        </w:tc>
        <w:tc>
          <w:tcPr>
            <w:tcW w:type="dxa" w:w="2948"/>
          </w:tcPr>
          <w:p>
            <w:pPr>
              <w:spacing w:lineRule="exact" w:line="600"/>
              <w:jc w:val="center"/>
            </w:pPr>
            <w:r/>
            <w:r>
              <w:rPr>
                <w:rFonts w:ascii="仿宋_GB2312" w:hAnsi="仿宋_GB2312" w:eastAsia="仿宋_GB2312"/>
                <w:b w:val="0"/>
                <w:color w:val="000000"/>
                <w:sz w:val="32"/>
              </w:rPr>
              <w:t>山东体育网名牌企业、中国轻工业百强企业（企业口径）</w:t>
            </w:r>
          </w:p>
        </w:tc>
        <w:tc>
          <w:tcPr>
            <w:tcW w:type="dxa" w:w="2948"/>
          </w:tcPr>
          <w:p>
            <w:pPr>
              <w:spacing w:lineRule="exact" w:line="600"/>
              <w:jc w:val="center"/>
            </w:pPr>
            <w:r/>
            <w:r>
              <w:rPr>
                <w:rFonts w:ascii="仿宋_GB2312" w:hAnsi="仿宋_GB2312" w:eastAsia="仿宋_GB2312"/>
                <w:b w:val="0"/>
                <w:color w:val="000000"/>
                <w:sz w:val="32"/>
              </w:rPr>
              <w:t>行业组织</w:t>
            </w:r>
          </w:p>
        </w:tc>
      </w:tr>
    </w:tbl>
    <w:p>
      <w:pPr>
        <w:spacing w:lineRule="exact" w:line="600" w:before="0" w:after="0"/>
        <w:ind w:firstLine="420"/>
        <w:jc w:val="both"/>
      </w:pPr>
      <w:r>
        <w:rPr>
          <w:rFonts w:ascii="仿宋_GB2312" w:hAnsi="仿宋_GB2312" w:eastAsia="仿宋_GB2312"/>
          <w:b w:val="0"/>
          <w:color w:val="000000"/>
          <w:sz w:val="32"/>
        </w:rPr>
        <w:t>上述资质构成了公司参与国际竞争的基础门槛。其中，欧洲REACH TUV认证涉及化学品注册、评估、授权与限制，是化纤制品进入欧盟市场的必备条件；马德里商标国际注册则为公司在欧盟28个国家和地区建立自主品牌保护提供了法律基础，有助于摆脱纯代工与贴牌模式，提升出口议价能力。需要说明的是，"中国轻工业百强企业"等荣誉系企业自主宣传口径，公开渠道未检索到对应的权威发布名单，建议在授信尽调中要求企业提供证书原件核验。</w:t>
      </w:r>
    </w:p>
    <w:p>
      <w:pPr>
        <w:spacing w:lineRule="exact" w:line="600" w:before="120" w:after="120"/>
        <w:ind w:firstLine="420"/>
        <w:jc w:val="left"/>
      </w:pPr>
      <w:r>
        <w:rPr>
          <w:rFonts w:ascii="楷体_GB2312" w:hAnsi="楷体_GB2312" w:eastAsia="楷体_GB2312"/>
          <w:b w:val="0"/>
          <w:color w:val="000000"/>
          <w:sz w:val="32"/>
        </w:rPr>
        <w:t>（五）社会责任与地方带动</w:t>
      </w:r>
    </w:p>
    <w:p>
      <w:pPr>
        <w:spacing w:lineRule="exact" w:line="600" w:before="0" w:after="0"/>
        <w:ind w:firstLine="420"/>
        <w:jc w:val="both"/>
      </w:pPr>
      <w:r>
        <w:rPr>
          <w:rFonts w:ascii="仿宋_GB2312" w:hAnsi="仿宋_GB2312" w:eastAsia="仿宋_GB2312"/>
          <w:b w:val="0"/>
          <w:color w:val="000000"/>
          <w:sz w:val="32"/>
        </w:rPr>
        <w:t>公司于2022年3月发布社会责任报告，是集群内较早开展社会责任信息披露的企业。在地方就业带动方面，公司通过惠民县人社局常态化发布招聘信息，2025年2月公开招聘财务会计、仓库管理、外贸业务、国内业务等岗位，薪资区间为4000元至9000元，并明确试用期后缴纳五险或三险。这一薪酬水平在县域制造业中具有一定竞争力，但"业务人员每周单休""财务人员月休2天"的作息安排，也反映出县域中小制造企业普遍存在的用工强度较高、劳动合规压力较大的问题，在ESG评价与合规审查中需予以关注。</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（一）财务信息披露状况</w:t>
      </w:r>
    </w:p>
    <w:p>
      <w:pPr>
        <w:spacing w:lineRule="exact" w:line="600" w:before="0" w:after="0"/>
        <w:ind w:firstLine="420"/>
        <w:jc w:val="both"/>
      </w:pPr>
      <w:r>
        <w:rPr>
          <w:rFonts w:ascii="仿宋_GB2312" w:hAnsi="仿宋_GB2312" w:eastAsia="仿宋_GB2312"/>
          <w:b w:val="0"/>
          <w:color w:val="000000"/>
          <w:sz w:val="32"/>
        </w:rPr>
        <w:t>公司为非上市有限责任公司（自然人独资），不属于《证券法》《公开发行证券的公司信息披露内容与格式准则》规定的信息披露义务人，亦未发行公司债券或资产支持证券，未在任何公开渠道披露经审计的资产负债表、利润表、现金流量表及财务报表附注。截至本报告统计时点，通过国家企业信用信息公示系统、巨潮资讯网、中国货币网、上海清算所等渠道检索，均未获取到公司的定期财务报告。</w:t>
      </w:r>
    </w:p>
    <w:p>
      <w:pPr>
        <w:spacing w:lineRule="exact" w:line="600" w:before="0" w:after="0"/>
        <w:jc w:val="left"/>
      </w:pPr>
      <w:r>
        <w:rPr>
          <w:rFonts w:ascii="仿宋_GB2312" w:hAnsi="仿宋_GB2312" w:eastAsia="仿宋_GB2312"/>
          <w:b w:val="0"/>
          <w:color w:val="000000"/>
          <w:sz w:val="28"/>
        </w:rPr>
        <w:t>据此，本报告对公司财务状况的判断如实标注为：财务数据未公开披露。以下分析仅基于工商公示的资本信息、企业自主宣传的产能与市场信息、以及行业普遍经营特征展开定性推断，不构成对具体财务指标的估算，相关结论不得作为授信决策的直接依据。</w:t>
      </w:r>
    </w:p>
    <w:p>
      <w:pPr>
        <w:spacing w:lineRule="exact" w:line="600" w:before="120" w:after="120"/>
        <w:ind w:firstLine="420"/>
        <w:jc w:val="left"/>
      </w:pPr>
      <w:r>
        <w:rPr>
          <w:rFonts w:ascii="楷体_GB2312" w:hAnsi="楷体_GB2312" w:eastAsia="楷体_GB2312"/>
          <w:b w:val="0"/>
          <w:color w:val="000000"/>
          <w:sz w:val="32"/>
        </w:rPr>
        <w:t>（二）可获取的资本与规模指标</w:t>
      </w:r>
    </w:p>
    <w:tbl>
      <w:tblPr>
        <w:tblStyle w:val="TableGrid"/>
        <w:tblW w:type="auto" w:w="0"/>
        <w:jc w:val="center"/>
        <w:tblLook w:firstColumn="1" w:firstRow="1" w:lastColumn="0" w:lastRow="0" w:noHBand="0" w:noVBand="1" w:val="04A0"/>
      </w:tblPr>
      <w:tblGrid>
        <w:gridCol w:w="2948"/>
        <w:gridCol w:w="2948"/>
        <w:gridCol w:w="2948"/>
      </w:tblGrid>
      <w:tr>
        <w:tc>
          <w:tcPr>
            <w:tcW w:type="dxa" w:w="2948"/>
          </w:tcPr>
          <w:p>
            <w:pPr>
              <w:spacing w:lineRule="exact" w:line="600"/>
              <w:jc w:val="center"/>
            </w:pPr>
            <w:r/>
            <w:r>
              <w:rPr>
                <w:rFonts w:ascii="黑体" w:hAnsi="黑体" w:eastAsia="黑体"/>
                <w:b/>
                <w:color w:val="000000"/>
                <w:sz w:val="32"/>
              </w:rPr>
              <w:t>指标</w:t>
            </w:r>
          </w:p>
        </w:tc>
        <w:tc>
          <w:tcPr>
            <w:tcW w:type="dxa" w:w="2948"/>
          </w:tcPr>
          <w:p>
            <w:pPr>
              <w:spacing w:lineRule="exact" w:line="600"/>
              <w:jc w:val="center"/>
            </w:pPr>
            <w:r/>
            <w:r>
              <w:rPr>
                <w:rFonts w:ascii="黑体" w:hAnsi="黑体" w:eastAsia="黑体"/>
                <w:b/>
                <w:color w:val="000000"/>
                <w:sz w:val="32"/>
              </w:rPr>
              <w:t>数值/状态</w:t>
            </w:r>
          </w:p>
        </w:tc>
        <w:tc>
          <w:tcPr>
            <w:tcW w:type="dxa" w:w="2948"/>
          </w:tcPr>
          <w:p>
            <w:pPr>
              <w:spacing w:lineRule="exact" w:line="600"/>
              <w:jc w:val="center"/>
            </w:pPr>
            <w:r/>
            <w:r>
              <w:rPr>
                <w:rFonts w:ascii="黑体" w:hAnsi="黑体" w:eastAsia="黑体"/>
                <w:b/>
                <w:color w:val="000000"/>
                <w:sz w:val="32"/>
              </w:rPr>
              <w:t>说明</w:t>
            </w:r>
          </w:p>
        </w:tc>
      </w:tr>
      <w:tr>
        <w:tc>
          <w:tcPr>
            <w:tcW w:type="dxa" w:w="2948"/>
          </w:tcPr>
          <w:p>
            <w:pPr>
              <w:spacing w:lineRule="exact" w:line="600"/>
              <w:jc w:val="center"/>
            </w:pPr>
            <w:r/>
            <w:r>
              <w:rPr>
                <w:rFonts w:ascii="仿宋_GB2312" w:hAnsi="仿宋_GB2312" w:eastAsia="仿宋_GB2312"/>
                <w:b w:val="0"/>
                <w:color w:val="000000"/>
                <w:sz w:val="32"/>
              </w:rPr>
              <w:t>注册资本</w:t>
            </w:r>
          </w:p>
        </w:tc>
        <w:tc>
          <w:tcPr>
            <w:tcW w:type="dxa" w:w="2948"/>
          </w:tcPr>
          <w:p>
            <w:pPr>
              <w:spacing w:lineRule="exact" w:line="600"/>
              <w:jc w:val="center"/>
            </w:pPr>
            <w:r/>
            <w:r>
              <w:rPr>
                <w:rFonts w:ascii="仿宋_GB2312" w:hAnsi="仿宋_GB2312" w:eastAsia="仿宋_GB2312"/>
                <w:b w:val="0"/>
                <w:color w:val="000000"/>
                <w:sz w:val="32"/>
              </w:rPr>
              <w:t>5000万元人民币</w:t>
            </w:r>
          </w:p>
        </w:tc>
        <w:tc>
          <w:tcPr>
            <w:tcW w:type="dxa" w:w="2948"/>
          </w:tcPr>
          <w:p>
            <w:pPr>
              <w:spacing w:lineRule="exact" w:line="600"/>
              <w:jc w:val="center"/>
            </w:pPr>
            <w:r/>
            <w:r>
              <w:rPr>
                <w:rFonts w:ascii="仿宋_GB2312" w:hAnsi="仿宋_GB2312" w:eastAsia="仿宋_GB2312"/>
                <w:b w:val="0"/>
                <w:color w:val="000000"/>
                <w:sz w:val="32"/>
              </w:rPr>
              <w:t>工商登记</w:t>
            </w:r>
          </w:p>
        </w:tc>
      </w:tr>
      <w:tr>
        <w:tc>
          <w:tcPr>
            <w:tcW w:type="dxa" w:w="2948"/>
          </w:tcPr>
          <w:p>
            <w:pPr>
              <w:spacing w:lineRule="exact" w:line="600"/>
              <w:jc w:val="center"/>
            </w:pPr>
            <w:r/>
            <w:r>
              <w:rPr>
                <w:rFonts w:ascii="仿宋_GB2312" w:hAnsi="仿宋_GB2312" w:eastAsia="仿宋_GB2312"/>
                <w:b w:val="0"/>
                <w:color w:val="000000"/>
                <w:sz w:val="32"/>
              </w:rPr>
              <w:t>实缴资本</w:t>
            </w:r>
          </w:p>
        </w:tc>
        <w:tc>
          <w:tcPr>
            <w:tcW w:type="dxa" w:w="2948"/>
          </w:tcPr>
          <w:p>
            <w:pPr>
              <w:spacing w:lineRule="exact" w:line="600"/>
              <w:jc w:val="center"/>
            </w:pPr>
            <w:r/>
            <w:r>
              <w:rPr>
                <w:rFonts w:ascii="仿宋_GB2312" w:hAnsi="仿宋_GB2312" w:eastAsia="仿宋_GB2312"/>
                <w:b w:val="0"/>
                <w:color w:val="000000"/>
                <w:sz w:val="32"/>
              </w:rPr>
              <w:t>5000万元人民币</w:t>
            </w:r>
          </w:p>
        </w:tc>
        <w:tc>
          <w:tcPr>
            <w:tcW w:type="dxa" w:w="2948"/>
          </w:tcPr>
          <w:p>
            <w:pPr>
              <w:spacing w:lineRule="exact" w:line="600"/>
              <w:jc w:val="center"/>
            </w:pPr>
            <w:r/>
            <w:r>
              <w:rPr>
                <w:rFonts w:ascii="仿宋_GB2312" w:hAnsi="仿宋_GB2312" w:eastAsia="仿宋_GB2312"/>
                <w:b w:val="0"/>
                <w:color w:val="000000"/>
                <w:sz w:val="32"/>
              </w:rPr>
              <w:t>已全额实缴，超过95%山东省同行</w:t>
            </w:r>
          </w:p>
        </w:tc>
      </w:tr>
      <w:tr>
        <w:tc>
          <w:tcPr>
            <w:tcW w:type="dxa" w:w="2948"/>
          </w:tcPr>
          <w:p>
            <w:pPr>
              <w:spacing w:lineRule="exact" w:line="600"/>
              <w:jc w:val="center"/>
            </w:pPr>
            <w:r/>
            <w:r>
              <w:rPr>
                <w:rFonts w:ascii="仿宋_GB2312" w:hAnsi="仿宋_GB2312" w:eastAsia="仿宋_GB2312"/>
                <w:b w:val="0"/>
                <w:color w:val="000000"/>
                <w:sz w:val="32"/>
              </w:rPr>
              <w:t>营业收入</w:t>
            </w:r>
          </w:p>
        </w:tc>
        <w:tc>
          <w:tcPr>
            <w:tcW w:type="dxa" w:w="2948"/>
          </w:tcPr>
          <w:p>
            <w:pPr>
              <w:spacing w:lineRule="exact" w:line="600"/>
              <w:jc w:val="center"/>
            </w:pPr>
            <w:r/>
            <w:r>
              <w:rPr>
                <w:rFonts w:ascii="仿宋_GB2312" w:hAnsi="仿宋_GB2312" w:eastAsia="仿宋_GB2312"/>
                <w:b w:val="0"/>
                <w:color w:val="000000"/>
                <w:sz w:val="32"/>
              </w:rPr>
              <w:t>财务数据未公开披露</w:t>
            </w:r>
          </w:p>
        </w:tc>
        <w:tc>
          <w:tcPr>
            <w:tcW w:type="dxa" w:w="2948"/>
          </w:tcPr>
          <w:p>
            <w:pPr>
              <w:spacing w:lineRule="exact" w:line="600"/>
              <w:jc w:val="center"/>
            </w:pPr>
            <w:r/>
            <w:r>
              <w:rPr>
                <w:rFonts w:ascii="仿宋_GB2312" w:hAnsi="仿宋_GB2312" w:eastAsia="仿宋_GB2312"/>
                <w:b w:val="0"/>
                <w:color w:val="000000"/>
                <w:sz w:val="32"/>
              </w:rPr>
              <w:t>非上市企业未披露</w:t>
            </w:r>
          </w:p>
        </w:tc>
      </w:tr>
      <w:tr>
        <w:tc>
          <w:tcPr>
            <w:tcW w:type="dxa" w:w="2948"/>
          </w:tcPr>
          <w:p>
            <w:pPr>
              <w:spacing w:lineRule="exact" w:line="600"/>
              <w:jc w:val="center"/>
            </w:pPr>
            <w:r/>
            <w:r>
              <w:rPr>
                <w:rFonts w:ascii="仿宋_GB2312" w:hAnsi="仿宋_GB2312" w:eastAsia="仿宋_GB2312"/>
                <w:b w:val="0"/>
                <w:color w:val="000000"/>
                <w:sz w:val="32"/>
              </w:rPr>
              <w:t>净利润</w:t>
            </w:r>
          </w:p>
        </w:tc>
        <w:tc>
          <w:tcPr>
            <w:tcW w:type="dxa" w:w="2948"/>
          </w:tcPr>
          <w:p>
            <w:pPr>
              <w:spacing w:lineRule="exact" w:line="600"/>
              <w:jc w:val="center"/>
            </w:pPr>
            <w:r/>
            <w:r>
              <w:rPr>
                <w:rFonts w:ascii="仿宋_GB2312" w:hAnsi="仿宋_GB2312" w:eastAsia="仿宋_GB2312"/>
                <w:b w:val="0"/>
                <w:color w:val="000000"/>
                <w:sz w:val="32"/>
              </w:rPr>
              <w:t>财务数据未公开披露</w:t>
            </w:r>
          </w:p>
        </w:tc>
        <w:tc>
          <w:tcPr>
            <w:tcW w:type="dxa" w:w="2948"/>
          </w:tcPr>
          <w:p>
            <w:pPr>
              <w:spacing w:lineRule="exact" w:line="600"/>
              <w:jc w:val="center"/>
            </w:pPr>
            <w:r/>
            <w:r>
              <w:rPr>
                <w:rFonts w:ascii="仿宋_GB2312" w:hAnsi="仿宋_GB2312" w:eastAsia="仿宋_GB2312"/>
                <w:b w:val="0"/>
                <w:color w:val="000000"/>
                <w:sz w:val="32"/>
              </w:rPr>
              <w:t>非上市企业未披露</w:t>
            </w:r>
          </w:p>
        </w:tc>
      </w:tr>
      <w:tr>
        <w:tc>
          <w:tcPr>
            <w:tcW w:type="dxa" w:w="2948"/>
          </w:tcPr>
          <w:p>
            <w:pPr>
              <w:spacing w:lineRule="exact" w:line="600"/>
              <w:jc w:val="center"/>
            </w:pPr>
            <w:r/>
            <w:r>
              <w:rPr>
                <w:rFonts w:ascii="仿宋_GB2312" w:hAnsi="仿宋_GB2312" w:eastAsia="仿宋_GB2312"/>
                <w:b w:val="0"/>
                <w:color w:val="000000"/>
                <w:sz w:val="32"/>
              </w:rPr>
              <w:t>资产总额</w:t>
            </w:r>
          </w:p>
        </w:tc>
        <w:tc>
          <w:tcPr>
            <w:tcW w:type="dxa" w:w="2948"/>
          </w:tcPr>
          <w:p>
            <w:pPr>
              <w:spacing w:lineRule="exact" w:line="600"/>
              <w:jc w:val="center"/>
            </w:pPr>
            <w:r/>
            <w:r>
              <w:rPr>
                <w:rFonts w:ascii="仿宋_GB2312" w:hAnsi="仿宋_GB2312" w:eastAsia="仿宋_GB2312"/>
                <w:b w:val="0"/>
                <w:color w:val="000000"/>
                <w:sz w:val="32"/>
              </w:rPr>
              <w:t>财务数据未公开披露</w:t>
            </w:r>
          </w:p>
        </w:tc>
        <w:tc>
          <w:tcPr>
            <w:tcW w:type="dxa" w:w="2948"/>
          </w:tcPr>
          <w:p>
            <w:pPr>
              <w:spacing w:lineRule="exact" w:line="600"/>
              <w:jc w:val="center"/>
            </w:pPr>
            <w:r/>
            <w:r>
              <w:rPr>
                <w:rFonts w:ascii="仿宋_GB2312" w:hAnsi="仿宋_GB2312" w:eastAsia="仿宋_GB2312"/>
                <w:b w:val="0"/>
                <w:color w:val="000000"/>
                <w:sz w:val="32"/>
              </w:rPr>
              <w:t>非上市企业未披露</w:t>
            </w:r>
          </w:p>
        </w:tc>
      </w:tr>
      <w:tr>
        <w:tc>
          <w:tcPr>
            <w:tcW w:type="dxa" w:w="2948"/>
          </w:tcPr>
          <w:p>
            <w:pPr>
              <w:spacing w:lineRule="exact" w:line="600"/>
              <w:jc w:val="center"/>
            </w:pPr>
            <w:r/>
            <w:r>
              <w:rPr>
                <w:rFonts w:ascii="仿宋_GB2312" w:hAnsi="仿宋_GB2312" w:eastAsia="仿宋_GB2312"/>
                <w:b w:val="0"/>
                <w:color w:val="000000"/>
                <w:sz w:val="32"/>
              </w:rPr>
              <w:t>负债总额</w:t>
            </w:r>
          </w:p>
        </w:tc>
        <w:tc>
          <w:tcPr>
            <w:tcW w:type="dxa" w:w="2948"/>
          </w:tcPr>
          <w:p>
            <w:pPr>
              <w:spacing w:lineRule="exact" w:line="600"/>
              <w:jc w:val="center"/>
            </w:pPr>
            <w:r/>
            <w:r>
              <w:rPr>
                <w:rFonts w:ascii="仿宋_GB2312" w:hAnsi="仿宋_GB2312" w:eastAsia="仿宋_GB2312"/>
                <w:b w:val="0"/>
                <w:color w:val="000000"/>
                <w:sz w:val="32"/>
              </w:rPr>
              <w:t>财务数据未公开披露</w:t>
            </w:r>
          </w:p>
        </w:tc>
        <w:tc>
          <w:tcPr>
            <w:tcW w:type="dxa" w:w="2948"/>
          </w:tcPr>
          <w:p>
            <w:pPr>
              <w:spacing w:lineRule="exact" w:line="600"/>
              <w:jc w:val="center"/>
            </w:pPr>
            <w:r/>
            <w:r>
              <w:rPr>
                <w:rFonts w:ascii="仿宋_GB2312" w:hAnsi="仿宋_GB2312" w:eastAsia="仿宋_GB2312"/>
                <w:b w:val="0"/>
                <w:color w:val="000000"/>
                <w:sz w:val="32"/>
              </w:rPr>
              <w:t>非上市企业未披露</w:t>
            </w:r>
          </w:p>
        </w:tc>
      </w:tr>
      <w:tr>
        <w:tc>
          <w:tcPr>
            <w:tcW w:type="dxa" w:w="2948"/>
          </w:tcPr>
          <w:p>
            <w:pPr>
              <w:spacing w:lineRule="exact" w:line="600"/>
              <w:jc w:val="center"/>
            </w:pPr>
            <w:r/>
            <w:r>
              <w:rPr>
                <w:rFonts w:ascii="仿宋_GB2312" w:hAnsi="仿宋_GB2312" w:eastAsia="仿宋_GB2312"/>
                <w:b w:val="0"/>
                <w:color w:val="000000"/>
                <w:sz w:val="32"/>
              </w:rPr>
              <w:t>资产负债率</w:t>
            </w:r>
          </w:p>
        </w:tc>
        <w:tc>
          <w:tcPr>
            <w:tcW w:type="dxa" w:w="2948"/>
          </w:tcPr>
          <w:p>
            <w:pPr>
              <w:spacing w:lineRule="exact" w:line="600"/>
              <w:jc w:val="center"/>
            </w:pPr>
            <w:r/>
            <w:r>
              <w:rPr>
                <w:rFonts w:ascii="仿宋_GB2312" w:hAnsi="仿宋_GB2312" w:eastAsia="仿宋_GB2312"/>
                <w:b w:val="0"/>
                <w:color w:val="000000"/>
                <w:sz w:val="32"/>
              </w:rPr>
              <w:t>财务数据未公开披露</w:t>
            </w:r>
          </w:p>
        </w:tc>
        <w:tc>
          <w:tcPr>
            <w:tcW w:type="dxa" w:w="2948"/>
          </w:tcPr>
          <w:p>
            <w:pPr>
              <w:spacing w:lineRule="exact" w:line="600"/>
              <w:jc w:val="center"/>
            </w:pPr>
            <w:r/>
            <w:r>
              <w:rPr>
                <w:rFonts w:ascii="仿宋_GB2312" w:hAnsi="仿宋_GB2312" w:eastAsia="仿宋_GB2312"/>
                <w:b w:val="0"/>
                <w:color w:val="000000"/>
                <w:sz w:val="32"/>
              </w:rPr>
              <w:t>非上市企业未披露</w:t>
            </w:r>
          </w:p>
        </w:tc>
      </w:tr>
      <w:tr>
        <w:tc>
          <w:tcPr>
            <w:tcW w:type="dxa" w:w="2948"/>
          </w:tcPr>
          <w:p>
            <w:pPr>
              <w:spacing w:lineRule="exact" w:line="600"/>
              <w:jc w:val="center"/>
            </w:pPr>
            <w:r/>
            <w:r>
              <w:rPr>
                <w:rFonts w:ascii="仿宋_GB2312" w:hAnsi="仿宋_GB2312" w:eastAsia="仿宋_GB2312"/>
                <w:b w:val="0"/>
                <w:color w:val="000000"/>
                <w:sz w:val="32"/>
              </w:rPr>
              <w:t>经营活动现金流</w:t>
            </w:r>
          </w:p>
        </w:tc>
        <w:tc>
          <w:tcPr>
            <w:tcW w:type="dxa" w:w="2948"/>
          </w:tcPr>
          <w:p>
            <w:pPr>
              <w:spacing w:lineRule="exact" w:line="600"/>
              <w:jc w:val="center"/>
            </w:pPr>
            <w:r/>
            <w:r>
              <w:rPr>
                <w:rFonts w:ascii="仿宋_GB2312" w:hAnsi="仿宋_GB2312" w:eastAsia="仿宋_GB2312"/>
                <w:b w:val="0"/>
                <w:color w:val="000000"/>
                <w:sz w:val="32"/>
              </w:rPr>
              <w:t>财务数据未公开披露</w:t>
            </w:r>
          </w:p>
        </w:tc>
        <w:tc>
          <w:tcPr>
            <w:tcW w:type="dxa" w:w="2948"/>
          </w:tcPr>
          <w:p>
            <w:pPr>
              <w:spacing w:lineRule="exact" w:line="600"/>
              <w:jc w:val="center"/>
            </w:pPr>
            <w:r/>
            <w:r>
              <w:rPr>
                <w:rFonts w:ascii="仿宋_GB2312" w:hAnsi="仿宋_GB2312" w:eastAsia="仿宋_GB2312"/>
                <w:b w:val="0"/>
                <w:color w:val="000000"/>
                <w:sz w:val="32"/>
              </w:rPr>
              <w:t>非上市企业未披露</w:t>
            </w:r>
          </w:p>
        </w:tc>
      </w:tr>
      <w:tr>
        <w:tc>
          <w:tcPr>
            <w:tcW w:type="dxa" w:w="2948"/>
          </w:tcPr>
          <w:p>
            <w:pPr>
              <w:spacing w:lineRule="exact" w:line="600"/>
              <w:jc w:val="center"/>
            </w:pPr>
            <w:r/>
            <w:r>
              <w:rPr>
                <w:rFonts w:ascii="仿宋_GB2312" w:hAnsi="仿宋_GB2312" w:eastAsia="仿宋_GB2312"/>
                <w:b w:val="0"/>
                <w:color w:val="000000"/>
                <w:sz w:val="32"/>
              </w:rPr>
              <w:t>企业规模认定</w:t>
            </w:r>
          </w:p>
        </w:tc>
        <w:tc>
          <w:tcPr>
            <w:tcW w:type="dxa" w:w="2948"/>
          </w:tcPr>
          <w:p>
            <w:pPr>
              <w:spacing w:lineRule="exact" w:line="600"/>
              <w:jc w:val="center"/>
            </w:pPr>
            <w:r/>
            <w:r>
              <w:rPr>
                <w:rFonts w:ascii="仿宋_GB2312" w:hAnsi="仿宋_GB2312" w:eastAsia="仿宋_GB2312"/>
                <w:b w:val="0"/>
                <w:color w:val="000000"/>
                <w:sz w:val="32"/>
              </w:rPr>
              <w:t>小微企业（公示口径）</w:t>
            </w:r>
          </w:p>
        </w:tc>
        <w:tc>
          <w:tcPr>
            <w:tcW w:type="dxa" w:w="2948"/>
          </w:tcPr>
          <w:p>
            <w:pPr>
              <w:spacing w:lineRule="exact" w:line="600"/>
              <w:jc w:val="center"/>
            </w:pPr>
            <w:r/>
            <w:r>
              <w:rPr>
                <w:rFonts w:ascii="仿宋_GB2312" w:hAnsi="仿宋_GB2312" w:eastAsia="仿宋_GB2312"/>
                <w:b w:val="0"/>
                <w:color w:val="000000"/>
                <w:sz w:val="32"/>
              </w:rPr>
              <w:t>与企业实际经营体量存在差异</w:t>
            </w:r>
          </w:p>
        </w:tc>
      </w:tr>
    </w:tbl>
    <w:p>
      <w:pPr>
        <w:spacing w:lineRule="exact" w:line="600" w:before="0" w:after="0"/>
        <w:ind w:firstLine="420"/>
        <w:jc w:val="both"/>
      </w:pPr>
      <w:r>
        <w:rPr>
          <w:rFonts w:ascii="仿宋_GB2312" w:hAnsi="仿宋_GB2312" w:eastAsia="仿宋_GB2312"/>
          <w:b w:val="0"/>
          <w:color w:val="000000"/>
          <w:sz w:val="32"/>
        </w:rPr>
        <w:t>需特别说明的是，工商公示系统将公司标注为"小微企业"，主要依据参保人数、营业收入等填报口径的划型标准。但结合公司70余亩厂区、110余台经编机、5000至6000吨年产能、出口60余国的经营实际，其真实经营体量应显著高于典型小微企业。这一认定差异提示：在授信审查中不应简单依据公示的企业规模标签判断客户层级，而应通过纳税申报表、银行流水、海关报关数据、用电量等替代性指标交叉验证真实经营规模。</w:t>
      </w:r>
    </w:p>
    <w:p>
      <w:pPr>
        <w:spacing w:lineRule="exact" w:line="600" w:before="120" w:after="120"/>
        <w:ind w:firstLine="420"/>
        <w:jc w:val="left"/>
      </w:pPr>
      <w:r>
        <w:rPr>
          <w:rFonts w:ascii="楷体_GB2312" w:hAnsi="楷体_GB2312" w:eastAsia="楷体_GB2312"/>
          <w:b w:val="0"/>
          <w:color w:val="000000"/>
          <w:sz w:val="32"/>
        </w:rPr>
        <w:t>（三）盈利能力的定性判断</w:t>
      </w:r>
    </w:p>
    <w:p>
      <w:pPr>
        <w:spacing w:lineRule="exact" w:line="600" w:before="0" w:after="0"/>
        <w:ind w:firstLine="420"/>
        <w:jc w:val="both"/>
      </w:pPr>
      <w:r>
        <w:rPr>
          <w:rFonts w:ascii="仿宋_GB2312" w:hAnsi="仿宋_GB2312" w:eastAsia="仿宋_GB2312"/>
          <w:b w:val="0"/>
          <w:color w:val="000000"/>
          <w:sz w:val="32"/>
        </w:rPr>
        <w:t>从行业与企业特征综合判断，公司盈利能力应处于集群内中上水平，主要依据有三：其一，产品结构已由低毛利的建筑安全网向高附加值的长效遮阳网、园艺休闲类产品转型，五年寿命遮阳网相对一年寿命普通产品具有显著价格溢价空间；其二，公司具备自营进出口权和国际认证，出口业务可绕开中间商直接对接终端客户，渠道利润留存能力较强；其三，公司为高新技术企业，可享受15%的企业所得税优惠税率（需以最新有效期内的资格认定为准），税负相对较轻。</w:t>
      </w:r>
    </w:p>
    <w:p>
      <w:pPr>
        <w:spacing w:lineRule="exact" w:line="600" w:before="0" w:after="0"/>
        <w:ind w:firstLine="420"/>
        <w:jc w:val="both"/>
      </w:pPr>
      <w:r>
        <w:rPr>
          <w:rFonts w:ascii="仿宋_GB2312" w:hAnsi="仿宋_GB2312" w:eastAsia="仿宋_GB2312"/>
          <w:b w:val="0"/>
          <w:color w:val="000000"/>
          <w:sz w:val="32"/>
        </w:rPr>
        <w:t>制约因素同样明显：绳网行业原材料成本占比通常在六成以上，聚乙烯、聚丙烯价格随国际油价波动，企业对上游议价能力有限；行业内产品同质化严重、进入门槛偏低，本地4000余家企业形成的内部竞争压力持续压缩价格空间；出口业务还面临汇率波动、海运费波动与贸易摩擦的多重不确定性。</w:t>
      </w:r>
    </w:p>
    <w:p>
      <w:pPr>
        <w:spacing w:lineRule="exact" w:line="600" w:before="120" w:after="120"/>
        <w:ind w:firstLine="420"/>
        <w:jc w:val="left"/>
      </w:pPr>
      <w:r>
        <w:rPr>
          <w:rFonts w:ascii="楷体_GB2312" w:hAnsi="楷体_GB2312" w:eastAsia="楷体_GB2312"/>
          <w:b w:val="0"/>
          <w:color w:val="000000"/>
          <w:sz w:val="32"/>
        </w:rPr>
        <w:t>（四）偿债能力与流动性的定性判断</w:t>
      </w:r>
    </w:p>
    <w:p>
      <w:pPr>
        <w:spacing w:lineRule="exact" w:line="600" w:before="0" w:after="0"/>
        <w:ind w:firstLine="420"/>
        <w:jc w:val="both"/>
      </w:pPr>
      <w:r>
        <w:rPr>
          <w:rFonts w:ascii="仿宋_GB2312" w:hAnsi="仿宋_GB2312" w:eastAsia="仿宋_GB2312"/>
          <w:b w:val="0"/>
          <w:color w:val="000000"/>
          <w:sz w:val="32"/>
        </w:rPr>
        <w:t>公司注册资本5000万元且全额实缴，反映股东真实投入较为充分，资本缓冲相对厚实。但需注意，绳网制造属于典型的重营运资金行业：原材料需集中采购备货、成品需常备库存以应对旺季交付、出口业务从发货到收汇存在较长账期，三项因素叠加导致营运资金占用较大。公司近年扩建立体化仓储设施，亦意味着固定资产投入与存货规模同步上升。</w:t>
      </w:r>
    </w:p>
    <w:p>
      <w:pPr>
        <w:spacing w:lineRule="exact" w:line="600" w:before="0" w:after="0"/>
        <w:ind w:firstLine="420"/>
        <w:jc w:val="both"/>
      </w:pPr>
      <w:r>
        <w:rPr>
          <w:rFonts w:ascii="仿宋_GB2312" w:hAnsi="仿宋_GB2312" w:eastAsia="仿宋_GB2312"/>
          <w:b w:val="0"/>
          <w:color w:val="000000"/>
          <w:sz w:val="32"/>
        </w:rPr>
        <w:t>在无法获取真实报表的情况下，建议通过以下方式对偿债能力进行穿透验证：一是调取企业近三年增值税纳税申报表与企业所得税年度汇算清缴报告，还原真实营收与利润规模；二是核查人民银行企业征信报告，掌握其在各金融机构的授信总量、用信余额、担保对外提供情况与还款记录；三是核查不动产登记与动产融资统一登记公示系统，确认厂房土地、生产设备是否已设定抵质押；四是核查海关出口数据，验证出口收汇规模与订单真实性。</w:t>
      </w:r>
    </w:p>
    <w:p>
      <w:pPr>
        <w:spacing w:lineRule="exact" w:line="600" w:before="120" w:after="120"/>
        <w:ind w:firstLine="420"/>
        <w:jc w:val="left"/>
      </w:pPr>
      <w:r>
        <w:rPr>
          <w:rFonts w:ascii="楷体_GB2312" w:hAnsi="楷体_GB2312" w:eastAsia="楷体_GB2312"/>
          <w:b w:val="0"/>
          <w:color w:val="000000"/>
          <w:sz w:val="32"/>
        </w:rPr>
        <w:t>（五）涉诉与信用风险信息</w:t>
      </w:r>
    </w:p>
    <w:p>
      <w:pPr>
        <w:spacing w:lineRule="exact" w:line="600" w:before="0" w:after="0"/>
        <w:ind w:firstLine="420"/>
        <w:jc w:val="both"/>
      </w:pPr>
      <w:r>
        <w:rPr>
          <w:rFonts w:ascii="仿宋_GB2312" w:hAnsi="仿宋_GB2312" w:eastAsia="仿宋_GB2312"/>
          <w:b w:val="0"/>
          <w:color w:val="000000"/>
          <w:sz w:val="32"/>
        </w:rPr>
        <w:t>据天眼查大数据统计，公司存在天眼风险信息63条，裁判文书1条，涉诉关系12条，开庭公告3条。对于一家经营26年、年出口覆盖60余国、参与招投标23次的制造企业而言，该涉诉规模总体处于可理解范围，但仍需逐案核查案由与结果，重点关注是否涉及产品质量责任、买卖合同货款纠纷、劳动争议、知识产权侵权等实质性风险，以及是否存在被执行、失信被执行、限制高消费、股权冻结等严重负面记录。</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为自然人独资的有限责任公司，依据《公司法》规定，一人有限责任公司不设股东会，股东行使股东会职权时应当采用书面形式并由股东签名后置备于公司。这类治理结构决策效率极高，有利于在市场机会窗口期快速决断，但同时也存在三方面固有缺陷：一是缺少股东会与董事会的相互制衡，重大投资决策缺乏集体审议程序；二是公司财产与股东个人财产易发生混同，依据《公司法》第六十三条，一人有限责任公司股东不能证明公司财产独立于自己财产的，应当对公司债务承担连带责任；三是缺乏外部董事与专业委员会，公司治理的专业化程度受限。</w:t>
      </w:r>
    </w:p>
    <w:p>
      <w:pPr>
        <w:spacing w:lineRule="exact" w:line="600" w:before="0" w:after="0"/>
        <w:ind w:firstLine="420"/>
        <w:jc w:val="both"/>
      </w:pPr>
      <w:r>
        <w:rPr>
          <w:rFonts w:ascii="仿宋_GB2312" w:hAnsi="仿宋_GB2312" w:eastAsia="仿宋_GB2312"/>
          <w:b w:val="0"/>
          <w:color w:val="000000"/>
          <w:sz w:val="32"/>
        </w:rPr>
        <w:t>基于上述特点，在授信业务中应当要求公司提供年度财务会计报告并经会计师事务所审计（《公司法》对一人有限责任公司有此强制要求），据此核查其财务独立性；同时应要求实际控制人提供无限连带责任保证，将公司信用与个人信用绑定。</w:t>
      </w:r>
    </w:p>
    <w:p>
      <w:pPr>
        <w:spacing w:lineRule="exact" w:line="600" w:before="120" w:after="120"/>
        <w:ind w:firstLine="420"/>
        <w:jc w:val="left"/>
      </w:pPr>
      <w:r>
        <w:rPr>
          <w:rFonts w:ascii="楷体_GB2312" w:hAnsi="楷体_GB2312" w:eastAsia="楷体_GB2312"/>
          <w:b w:val="0"/>
          <w:color w:val="000000"/>
          <w:sz w:val="32"/>
        </w:rPr>
        <w:t>（二）经营管理体系</w:t>
      </w:r>
    </w:p>
    <w:p>
      <w:pPr>
        <w:spacing w:lineRule="exact" w:line="600" w:before="0" w:after="0"/>
        <w:ind w:firstLine="420"/>
        <w:jc w:val="both"/>
      </w:pPr>
      <w:r>
        <w:rPr>
          <w:rFonts w:ascii="仿宋_GB2312" w:hAnsi="仿宋_GB2312" w:eastAsia="仿宋_GB2312"/>
          <w:b w:val="0"/>
          <w:color w:val="000000"/>
          <w:sz w:val="32"/>
        </w:rPr>
        <w:t>公司建立了以质量管理为核心的经营管理体系，通过ISO9001质量管理体系和职业健康安全管理体系认证，并配备抗冲击、防老化、阻燃、贯穿等专项试验设备，形成从原材料进厂检验到成品出厂检验的全流程质量控制链条。这一体系对于安全网这类关系施工人员生命安全的产品而言，不仅是市场准入要求，更是企业规避重大产品责任风险的基础保障。</w:t>
      </w:r>
    </w:p>
    <w:p>
      <w:pPr>
        <w:spacing w:lineRule="exact" w:line="600" w:before="0" w:after="0"/>
        <w:ind w:firstLine="420"/>
        <w:jc w:val="both"/>
      </w:pPr>
      <w:r>
        <w:rPr>
          <w:rFonts w:ascii="仿宋_GB2312" w:hAnsi="仿宋_GB2312" w:eastAsia="仿宋_GB2312"/>
          <w:b w:val="0"/>
          <w:color w:val="000000"/>
          <w:sz w:val="32"/>
        </w:rPr>
        <w:t>公司管理层设置了办公室等职能部门，由办公室主任对外代表企业接受媒体采访、介绍经营情况，反映其已具备较为规范的对外沟通与行政管理职能。经营理念上，公司秉承"以质量赢市场、管理出效益"，注重将企业价值观与经营理念传递给员工，塑造具有凝聚力和忠诚度的员工队伍。</w:t>
      </w:r>
    </w:p>
    <w:p>
      <w:pPr>
        <w:spacing w:lineRule="exact" w:line="600" w:before="120" w:after="120"/>
        <w:ind w:firstLine="420"/>
        <w:jc w:val="left"/>
      </w:pPr>
      <w:r>
        <w:rPr>
          <w:rFonts w:ascii="楷体_GB2312" w:hAnsi="楷体_GB2312" w:eastAsia="楷体_GB2312"/>
          <w:b w:val="0"/>
          <w:color w:val="000000"/>
          <w:sz w:val="32"/>
        </w:rPr>
        <w:t>（三）人力资源状况</w:t>
      </w:r>
    </w:p>
    <w:p>
      <w:pPr>
        <w:spacing w:lineRule="exact" w:line="600" w:before="0" w:after="0"/>
        <w:ind w:firstLine="420"/>
        <w:jc w:val="both"/>
      </w:pPr>
      <w:r>
        <w:rPr>
          <w:rFonts w:ascii="仿宋_GB2312" w:hAnsi="仿宋_GB2312" w:eastAsia="仿宋_GB2312"/>
          <w:b w:val="0"/>
          <w:color w:val="000000"/>
          <w:sz w:val="32"/>
        </w:rPr>
        <w:t>公司现有员工200余人（企业口径），工商公示参保人数38人。人员结构上，以生产操作工、外贸业务员、国内业务员、仓储物流管理人员和财务人员为主。2025年招聘信息显示，外贸业务人员要求商务英语专业、薪资4000至9000元，国内业务人员专业不限、薪资4000至9000元，财务会计要求财务专业、薪资4000至6000元，仓库管理要求物流管理专业、薪资4000至7000元。外贸岗位可选择在滨州市区上班，体现公司为吸引人才在办公地点上作出的弹性安排。</w:t>
      </w:r>
    </w:p>
    <w:p>
      <w:pPr>
        <w:spacing w:lineRule="exact" w:line="600" w:before="0" w:after="0"/>
        <w:ind w:firstLine="420"/>
        <w:jc w:val="both"/>
      </w:pPr>
      <w:r>
        <w:rPr>
          <w:rFonts w:ascii="仿宋_GB2312" w:hAnsi="仿宋_GB2312" w:eastAsia="仿宋_GB2312"/>
          <w:b w:val="0"/>
          <w:color w:val="000000"/>
          <w:sz w:val="32"/>
        </w:rPr>
        <w:t>人力资源方面的主要挑战有三：一是县域区位对高层次研发人才、国际市场营销人才的吸引力有限，公司主要依靠与东华大学等高校的产学研合作弥补研发人才缺口；二是一线用工老龄化与季节性波动明显，大量产能依赖外协工坊和灵活用工，用工稳定性和质量一致性存在管理难度；三是薪酬结构中"每周单休""月休2天"的作息安排，在《劳动法》工时制度合规性上存在瑕疵风险，可能引发劳动争议和监管处罚。</w:t>
      </w:r>
    </w:p>
    <w:p>
      <w:pPr>
        <w:spacing w:lineRule="exact" w:line="600" w:before="120" w:after="120"/>
        <w:ind w:firstLine="420"/>
        <w:jc w:val="left"/>
      </w:pPr>
      <w:r>
        <w:rPr>
          <w:rFonts w:ascii="黑体" w:hAnsi="黑体" w:eastAsia="黑体"/>
          <w:b w:val="0"/>
          <w:color w:val="000000"/>
          <w:sz w:val="32"/>
        </w:rPr>
        <w:t>五、核心竞争力分析</w:t>
      </w:r>
    </w:p>
    <w:p>
      <w:pPr>
        <w:spacing w:lineRule="exact" w:line="600" w:before="120" w:after="120"/>
        <w:ind w:firstLine="420"/>
        <w:jc w:val="left"/>
      </w:pPr>
      <w:r>
        <w:rPr>
          <w:rFonts w:ascii="楷体_GB2312" w:hAnsi="楷体_GB2312" w:eastAsia="楷体_GB2312"/>
          <w:b w:val="0"/>
          <w:color w:val="000000"/>
          <w:sz w:val="32"/>
        </w:rPr>
        <w:t>（一）区位与集群协同优势</w:t>
      </w:r>
    </w:p>
    <w:p>
      <w:pPr>
        <w:spacing w:lineRule="exact" w:line="600" w:before="0" w:after="0"/>
        <w:ind w:firstLine="420"/>
        <w:jc w:val="both"/>
      </w:pPr>
      <w:r>
        <w:rPr>
          <w:rFonts w:ascii="仿宋_GB2312" w:hAnsi="仿宋_GB2312" w:eastAsia="仿宋_GB2312"/>
          <w:b w:val="0"/>
          <w:color w:val="000000"/>
          <w:sz w:val="32"/>
        </w:rPr>
        <w:t>公司地处惠民县李庄镇——全国绳网产业最为密集的核心镇域。集群效应带来三重红利：一是配套齐全，从聚乙烯原料贸易、拉丝制丝、经编织造、后整理到包装物流，全部环节可在半小时车程内完成配套，采购与协作成本极低；二是产能弹性大，旺季可通过外协迅速释放产能，淡季则可压缩固定成本，抗周期能力强于一体化重资产企业；三是政策资源富集，作为国家级中小企业特色产业集群的龙头企业，公司在项目申报、人才引进、展会支持、标准制定、跨境电商等方面可优先获得政府资源倾斜。</w:t>
      </w:r>
    </w:p>
    <w:p>
      <w:pPr>
        <w:spacing w:lineRule="exact" w:line="600" w:before="120" w:after="120"/>
        <w:ind w:firstLine="420"/>
        <w:jc w:val="left"/>
      </w:pPr>
      <w:r>
        <w:rPr>
          <w:rFonts w:ascii="楷体_GB2312" w:hAnsi="楷体_GB2312" w:eastAsia="楷体_GB2312"/>
          <w:b w:val="0"/>
          <w:color w:val="000000"/>
          <w:sz w:val="32"/>
        </w:rPr>
        <w:t>（二）技术与标准话语权</w:t>
      </w:r>
    </w:p>
    <w:p>
      <w:pPr>
        <w:spacing w:lineRule="exact" w:line="600" w:before="0" w:after="0"/>
        <w:ind w:firstLine="420"/>
        <w:jc w:val="both"/>
      </w:pPr>
      <w:r>
        <w:rPr>
          <w:rFonts w:ascii="仿宋_GB2312" w:hAnsi="仿宋_GB2312" w:eastAsia="仿宋_GB2312"/>
          <w:b w:val="0"/>
          <w:color w:val="000000"/>
          <w:sz w:val="32"/>
        </w:rPr>
        <w:t>公司牵头制定全国"盖土抑尘网"标准，参与起草行业标准3项，拥有专利99条，是国内绳网行业少数具备标准话语权的企业。在建筑安全网、密目式安全立网等强制性标准管理产品领域，标准参与度直接转化为技术壁垒和市场准入优势。同时，公司在抗紫外线长效遮阳网上的配方突破（使用寿命由1年延长至5年），构成了对国内绝大多数同行的实质性技术领先，是其打开中东、欧美高端市场的核心支撑。</w:t>
      </w:r>
    </w:p>
    <w:p>
      <w:pPr>
        <w:spacing w:lineRule="exact" w:line="600" w:before="120" w:after="120"/>
        <w:ind w:firstLine="420"/>
        <w:jc w:val="left"/>
      </w:pPr>
      <w:r>
        <w:rPr>
          <w:rFonts w:ascii="楷体_GB2312" w:hAnsi="楷体_GB2312" w:eastAsia="楷体_GB2312"/>
          <w:b w:val="0"/>
          <w:color w:val="000000"/>
          <w:sz w:val="32"/>
        </w:rPr>
        <w:t>（三）品牌与国际渠道优势</w:t>
      </w:r>
    </w:p>
    <w:p>
      <w:pPr>
        <w:spacing w:lineRule="exact" w:line="600" w:before="0" w:after="0"/>
        <w:ind w:firstLine="420"/>
        <w:jc w:val="both"/>
      </w:pPr>
      <w:r>
        <w:rPr>
          <w:rFonts w:ascii="仿宋_GB2312" w:hAnsi="仿宋_GB2312" w:eastAsia="仿宋_GB2312"/>
          <w:b w:val="0"/>
          <w:color w:val="000000"/>
          <w:sz w:val="32"/>
        </w:rPr>
        <w:t>"金冠"品牌自2011年获山东省名牌、2012年获山东省著名商标以来，在国内绳网行业已具备较高识别度；2016年完成欧盟28国马德里商标注册，为品牌国际化奠定法律基础。渠道层面，公司自2008年取得自营进出口权，形成了"广交会等专业展会+阿里巴巴国际站+亚马逊+独立站"的立体化出口获客体系，2025年广交会后订单排至10月，验证了渠道的有效性。相比集群内大量依赖外贸公司代理出口的中小企业，公司的直接出口能力是其超额利润的重要来源。</w:t>
      </w:r>
    </w:p>
    <w:p>
      <w:pPr>
        <w:spacing w:lineRule="exact" w:line="600" w:before="120" w:after="120"/>
        <w:ind w:firstLine="420"/>
        <w:jc w:val="left"/>
      </w:pPr>
      <w:r>
        <w:rPr>
          <w:rFonts w:ascii="楷体_GB2312" w:hAnsi="楷体_GB2312" w:eastAsia="楷体_GB2312"/>
          <w:b w:val="0"/>
          <w:color w:val="000000"/>
          <w:sz w:val="32"/>
        </w:rPr>
        <w:t>（四）产能与交付保障能力</w:t>
      </w:r>
    </w:p>
    <w:p>
      <w:pPr>
        <w:spacing w:lineRule="exact" w:line="600" w:before="0" w:after="0"/>
        <w:ind w:firstLine="420"/>
        <w:jc w:val="both"/>
      </w:pPr>
      <w:r>
        <w:rPr>
          <w:rFonts w:ascii="仿宋_GB2312" w:hAnsi="仿宋_GB2312" w:eastAsia="仿宋_GB2312"/>
          <w:b w:val="0"/>
          <w:color w:val="000000"/>
          <w:sz w:val="32"/>
        </w:rPr>
        <w:t>公司年产能5000至6000吨，拥有拉丝机30余台、经编机110余台，并配套三个大型立体化成品仓库和一个原料仓库，官网以"充足货源、交期保障""规格齐全、免费拿样"作为核心卖点。在国际采购商日益重视交付确定性的背景下，规模化产能与仓储备货能力本身即构成竞争壁垒——中小作坊难以承接大批量、短交期、多规格的综合订单。</w:t>
      </w:r>
    </w:p>
    <w:p>
      <w:pPr>
        <w:spacing w:lineRule="exact" w:line="600" w:before="120" w:after="120"/>
        <w:ind w:firstLine="420"/>
        <w:jc w:val="left"/>
      </w:pPr>
      <w:r>
        <w:rPr>
          <w:rFonts w:ascii="楷体_GB2312" w:hAnsi="楷体_GB2312" w:eastAsia="楷体_GB2312"/>
          <w:b w:val="0"/>
          <w:color w:val="000000"/>
          <w:sz w:val="32"/>
        </w:rPr>
        <w:t>（五）竞争劣势与短板</w:t>
      </w:r>
    </w:p>
    <w:p>
      <w:pPr>
        <w:spacing w:lineRule="exact" w:line="600" w:before="0" w:after="0"/>
        <w:ind w:firstLine="420"/>
        <w:jc w:val="both"/>
      </w:pPr>
      <w:r>
        <w:rPr>
          <w:rFonts w:ascii="仿宋_GB2312" w:hAnsi="仿宋_GB2312" w:eastAsia="仿宋_GB2312"/>
          <w:b w:val="0"/>
          <w:color w:val="000000"/>
          <w:sz w:val="32"/>
        </w:rPr>
        <w:t>一是产品仍以中低价值区间为主。尽管公司已向深海养殖网、军事用网等高端领域探索，但目前主力产品仍是遮阳网、建筑安全网、农业用网等，单位价值量不高，难以支撑高毛利与高研发投入的良性循环。</w:t>
      </w:r>
    </w:p>
    <w:p>
      <w:pPr>
        <w:spacing w:lineRule="exact" w:line="600" w:before="0" w:after="0"/>
        <w:ind w:firstLine="420"/>
        <w:jc w:val="both"/>
      </w:pPr>
      <w:r>
        <w:rPr>
          <w:rFonts w:ascii="仿宋_GB2312" w:hAnsi="仿宋_GB2312" w:eastAsia="仿宋_GB2312"/>
          <w:b w:val="0"/>
          <w:color w:val="000000"/>
          <w:sz w:val="32"/>
        </w:rPr>
        <w:t>二是治理结构与融资渠道单一。自然人独资、无外部股东，资本补充主要依靠股东投入与银行信贷，缺乏股权融资、债券融资等直接融资通道，在产业新城建设带来的扩产机遇面前，资金约束可能成为发展瓶颈。</w:t>
      </w:r>
    </w:p>
    <w:p>
      <w:pPr>
        <w:spacing w:lineRule="exact" w:line="600" w:before="0" w:after="0"/>
        <w:ind w:firstLine="420"/>
        <w:jc w:val="both"/>
      </w:pPr>
      <w:r>
        <w:rPr>
          <w:rFonts w:ascii="仿宋_GB2312" w:hAnsi="仿宋_GB2312" w:eastAsia="仿宋_GB2312"/>
          <w:b w:val="0"/>
          <w:color w:val="000000"/>
          <w:sz w:val="32"/>
        </w:rPr>
        <w:t>三是财务与信息披露透明度不足。未经审计的财务信息、公示口径与实际经营的巨大差异，增加了金融机构的信息不对称成本，客观上抬高了企业的融资门槛与融资成本。</w:t>
      </w:r>
    </w:p>
    <w:p>
      <w:pPr>
        <w:spacing w:lineRule="exact" w:line="600" w:before="0" w:after="0"/>
        <w:ind w:firstLine="420"/>
        <w:jc w:val="both"/>
      </w:pPr>
      <w:r>
        <w:rPr>
          <w:rFonts w:ascii="仿宋_GB2312" w:hAnsi="仿宋_GB2312" w:eastAsia="仿宋_GB2312"/>
          <w:b w:val="0"/>
          <w:color w:val="000000"/>
          <w:sz w:val="32"/>
        </w:rPr>
        <w:t>四是集群内部同质化竞争激烈。惠民县4257家绳网企业中，规模以上企业仅77至89家，大量小微业户以低价争夺订单，不仅压低行业整体利润率，也存在以次充好损害"惠民绳网"区域品牌声誉的风险，龙头企业需承担额外的品牌维护成本。</w:t>
      </w:r>
    </w:p>
    <w:p>
      <w:pPr>
        <w:spacing w:lineRule="exact" w:line="600" w:before="120" w:after="120"/>
        <w:ind w:firstLine="420"/>
        <w:jc w:val="left"/>
      </w:pPr>
      <w:r>
        <w:rPr>
          <w:rFonts w:ascii="黑体" w:hAnsi="黑体" w:eastAsia="黑体"/>
          <w:b w:val="0"/>
          <w:color w:val="000000"/>
          <w:sz w:val="32"/>
        </w:rPr>
        <w:t>六、风险分析</w:t>
      </w:r>
    </w:p>
    <w:p>
      <w:pPr>
        <w:spacing w:lineRule="exact" w:line="600" w:before="120" w:after="120"/>
        <w:ind w:firstLine="420"/>
        <w:jc w:val="left"/>
      </w:pPr>
      <w:r>
        <w:rPr>
          <w:rFonts w:ascii="楷体_GB2312" w:hAnsi="楷体_GB2312" w:eastAsia="楷体_GB2312"/>
          <w:b w:val="0"/>
          <w:color w:val="000000"/>
          <w:sz w:val="32"/>
        </w:rPr>
        <w:t>（一）原材料价格波动风险</w:t>
      </w:r>
    </w:p>
    <w:p>
      <w:pPr>
        <w:spacing w:lineRule="exact" w:line="600" w:before="0" w:after="0"/>
        <w:ind w:firstLine="420"/>
        <w:jc w:val="both"/>
      </w:pPr>
      <w:r>
        <w:rPr>
          <w:rFonts w:ascii="仿宋_GB2312" w:hAnsi="仿宋_GB2312" w:eastAsia="仿宋_GB2312"/>
          <w:b w:val="0"/>
          <w:color w:val="000000"/>
          <w:sz w:val="32"/>
        </w:rPr>
        <w:t>公司主要原材料为聚乙烯、聚丙烯等聚烯烃树脂及色母、抗氧化剂、抗紫外线助剂等添加剂，成本占比高。聚烯烃价格与国际原油价格、国内石化装置检修周期、进口依存度密切相关，年度内波动幅度可达两成以上。公司作为中型采购方，缺乏期货套保能力与长协议价能力，成本传导至下游存在时滞，价格上行期利润易被侵蚀。建议在授信方案中关注企业原材料备货策略与价格锁定机制，并将存货跌价风险纳入押品估值考量。</w:t>
      </w:r>
    </w:p>
    <w:p>
      <w:pPr>
        <w:spacing w:lineRule="exact" w:line="600" w:before="120" w:after="120"/>
        <w:ind w:firstLine="420"/>
        <w:jc w:val="left"/>
      </w:pPr>
      <w:r>
        <w:rPr>
          <w:rFonts w:ascii="楷体_GB2312" w:hAnsi="楷体_GB2312" w:eastAsia="楷体_GB2312"/>
          <w:b w:val="0"/>
          <w:color w:val="000000"/>
          <w:sz w:val="32"/>
        </w:rPr>
        <w:t>（二）产品质量与安全责任风险</w:t>
      </w:r>
    </w:p>
    <w:p>
      <w:pPr>
        <w:spacing w:lineRule="exact" w:line="600" w:before="0" w:after="0"/>
        <w:ind w:firstLine="420"/>
        <w:jc w:val="both"/>
      </w:pPr>
      <w:r>
        <w:rPr>
          <w:rFonts w:ascii="仿宋_GB2312" w:hAnsi="仿宋_GB2312" w:eastAsia="仿宋_GB2312"/>
          <w:b w:val="0"/>
          <w:color w:val="000000"/>
          <w:sz w:val="32"/>
        </w:rPr>
        <w:t>建筑安全网、密目式安全立网、安全带、安全绳等属于特种劳动防护用品，直接关系高空作业人员生命安全，实行严格的生产许可、强制认证与监督抽查制度。一旦发生产品质量事故，企业将面临民事赔偿、行政处罚乃至刑事责任，并可能被列入建筑施工领域供应商黑名单，丧失市场资格。公司虽已建立完善的检测体系，但外协加工环节的质量一致性控制仍是薄弱点，需重点关注其对供应商与外协工坊的质量管理能力。</w:t>
      </w:r>
    </w:p>
    <w:p>
      <w:pPr>
        <w:spacing w:lineRule="exact" w:line="600" w:before="120" w:after="120"/>
        <w:ind w:firstLine="420"/>
        <w:jc w:val="left"/>
      </w:pPr>
      <w:r>
        <w:rPr>
          <w:rFonts w:ascii="楷体_GB2312" w:hAnsi="楷体_GB2312" w:eastAsia="楷体_GB2312"/>
          <w:b w:val="0"/>
          <w:color w:val="000000"/>
          <w:sz w:val="32"/>
        </w:rPr>
        <w:t>（三）国际贸易与汇率风险</w:t>
      </w:r>
    </w:p>
    <w:p>
      <w:pPr>
        <w:spacing w:lineRule="exact" w:line="600" w:before="0" w:after="0"/>
        <w:ind w:firstLine="420"/>
        <w:jc w:val="both"/>
      </w:pPr>
      <w:r>
        <w:rPr>
          <w:rFonts w:ascii="仿宋_GB2312" w:hAnsi="仿宋_GB2312" w:eastAsia="仿宋_GB2312"/>
          <w:b w:val="0"/>
          <w:color w:val="000000"/>
          <w:sz w:val="32"/>
        </w:rPr>
        <w:t>公司出口覆盖60至80余个国家和地区，出口业务在营收中占比较高。面临的外部风险包括：主要出口市场的反倾销、反补贴调查与技术性贸易壁垒；中东、非洲等新兴市场客户的信用风险与所在国政治经济动荡；人民币汇率双向波动对出口报价与结汇收益的影响；国际海运费用与集装箱周转的不确定性。建议要求企业投保出口信用保险、运用远期结汇等工具管理汇率敞口。</w:t>
      </w:r>
    </w:p>
    <w:p>
      <w:pPr>
        <w:spacing w:lineRule="exact" w:line="600" w:before="120" w:after="120"/>
        <w:ind w:firstLine="420"/>
        <w:jc w:val="left"/>
      </w:pPr>
      <w:r>
        <w:rPr>
          <w:rFonts w:ascii="楷体_GB2312" w:hAnsi="楷体_GB2312" w:eastAsia="楷体_GB2312"/>
          <w:b w:val="0"/>
          <w:color w:val="000000"/>
          <w:sz w:val="32"/>
        </w:rPr>
        <w:t>（四）行业竞争与产能过剩风险</w:t>
      </w:r>
    </w:p>
    <w:p>
      <w:pPr>
        <w:spacing w:lineRule="exact" w:line="600" w:before="0" w:after="0"/>
        <w:ind w:firstLine="420"/>
        <w:jc w:val="both"/>
      </w:pPr>
      <w:r>
        <w:rPr>
          <w:rFonts w:ascii="仿宋_GB2312" w:hAnsi="仿宋_GB2312" w:eastAsia="仿宋_GB2312"/>
          <w:b w:val="0"/>
          <w:color w:val="000000"/>
          <w:sz w:val="32"/>
        </w:rPr>
        <w:t>惠民县绳网企业4257家、加工业户7100余户，行业进入门槛低、设备投资强度不高，产能扩张速度快于需求增长时极易形成阶段性过剩。此外，随着中国绳网产业新城建设推进，大量新增产能将在未来数年集中释放，若下游需求（尤其是建筑业固定资产投资）不能同步扩张，行业价格战可能进一步加剧。</w:t>
      </w:r>
    </w:p>
    <w:p>
      <w:pPr>
        <w:spacing w:lineRule="exact" w:line="600" w:before="120" w:after="120"/>
        <w:ind w:firstLine="420"/>
        <w:jc w:val="left"/>
      </w:pPr>
      <w:r>
        <w:rPr>
          <w:rFonts w:ascii="楷体_GB2312" w:hAnsi="楷体_GB2312" w:eastAsia="楷体_GB2312"/>
          <w:b w:val="0"/>
          <w:color w:val="000000"/>
          <w:sz w:val="32"/>
        </w:rPr>
        <w:t>（五）下游需求周期风险</w:t>
      </w:r>
    </w:p>
    <w:p>
      <w:pPr>
        <w:spacing w:lineRule="exact" w:line="600" w:before="0" w:after="0"/>
        <w:ind w:firstLine="420"/>
        <w:jc w:val="both"/>
      </w:pPr>
      <w:r>
        <w:rPr>
          <w:rFonts w:ascii="仿宋_GB2312" w:hAnsi="仿宋_GB2312" w:eastAsia="仿宋_GB2312"/>
          <w:b w:val="0"/>
          <w:color w:val="000000"/>
          <w:sz w:val="32"/>
        </w:rPr>
        <w:t>建筑安全网需求与房地产开发投资、基础设施建设强度直接相关。当前国内房地产行业处于深度调整期，新开工面积持续承压，建筑用网需求增长乏力，这正是公司主动向农业、园艺、体育休闲、出口市场转型的根本原因。转型能否成功、新品类能否有效对冲传统主业下滑，是评估公司中长期经营稳定性的关键。</w:t>
      </w:r>
    </w:p>
    <w:p>
      <w:pPr>
        <w:spacing w:lineRule="exact" w:line="600" w:before="120" w:after="120"/>
        <w:ind w:firstLine="420"/>
        <w:jc w:val="left"/>
      </w:pPr>
      <w:r>
        <w:rPr>
          <w:rFonts w:ascii="楷体_GB2312" w:hAnsi="楷体_GB2312" w:eastAsia="楷体_GB2312"/>
          <w:b w:val="0"/>
          <w:color w:val="000000"/>
          <w:sz w:val="32"/>
        </w:rPr>
        <w:t>（六）环保与安全生产合规风险</w:t>
      </w:r>
    </w:p>
    <w:p>
      <w:pPr>
        <w:spacing w:lineRule="exact" w:line="600" w:before="0" w:after="0"/>
        <w:ind w:firstLine="420"/>
        <w:jc w:val="both"/>
      </w:pPr>
      <w:r>
        <w:rPr>
          <w:rFonts w:ascii="仿宋_GB2312" w:hAnsi="仿宋_GB2312" w:eastAsia="仿宋_GB2312"/>
          <w:b w:val="0"/>
          <w:color w:val="000000"/>
          <w:sz w:val="32"/>
        </w:rPr>
        <w:t>化纤拉丝、涂覆等工序涉及高温熔融、有机废气排放与固体废弃物处置，属环保重点监管环节；同时纺织类厂房粉尘积聚、原料与成品均为易燃聚烯烃制品，消防安全风险较高。若发生环保处罚或安全生产事故，将直接导致停产整改，冲击订单交付与信用记录。建议在贷前调查中实地核查排污许可、消防验收、安全生产标准化等级等合规文件。</w:t>
      </w:r>
    </w:p>
    <w:p>
      <w:pPr>
        <w:spacing w:lineRule="exact" w:line="600" w:before="120" w:after="120"/>
        <w:ind w:firstLine="420"/>
        <w:jc w:val="left"/>
      </w:pPr>
      <w:r>
        <w:rPr>
          <w:rFonts w:ascii="楷体_GB2312" w:hAnsi="楷体_GB2312" w:eastAsia="楷体_GB2312"/>
          <w:b w:val="0"/>
          <w:color w:val="000000"/>
          <w:sz w:val="32"/>
        </w:rPr>
        <w:t>（七）法律涉诉与关联风险</w:t>
      </w:r>
    </w:p>
    <w:p>
      <w:pPr>
        <w:spacing w:lineRule="exact" w:line="600" w:before="0" w:after="0"/>
        <w:ind w:firstLine="420"/>
        <w:jc w:val="both"/>
      </w:pPr>
      <w:r>
        <w:rPr>
          <w:rFonts w:ascii="仿宋_GB2312" w:hAnsi="仿宋_GB2312" w:eastAsia="仿宋_GB2312"/>
          <w:b w:val="0"/>
          <w:color w:val="000000"/>
          <w:sz w:val="32"/>
        </w:rPr>
        <w:t>公司现有天眼风险信息63条、涉诉关系12条、开庭公告3条、裁判文书1条。同时公司对外投资2家企业，需核查被投资企业是否存在债务风险与担保连带责任。此外，行业内商标仿冒、专利侵权现象普遍，公司拥有商标91条、专利99条，在维权成本与被诉风险两端均需持续投入。</w:t>
      </w:r>
    </w:p>
    <w:p>
      <w:pPr>
        <w:spacing w:lineRule="exact" w:line="600" w:before="120" w:after="120"/>
        <w:ind w:firstLine="420"/>
        <w:jc w:val="left"/>
      </w:pPr>
      <w:r>
        <w:rPr>
          <w:rFonts w:ascii="楷体_GB2312" w:hAnsi="楷体_GB2312" w:eastAsia="楷体_GB2312"/>
          <w:b w:val="0"/>
          <w:color w:val="000000"/>
          <w:sz w:val="32"/>
        </w:rPr>
        <w:t>（八）人员与用工合规风险</w:t>
      </w:r>
    </w:p>
    <w:p>
      <w:pPr>
        <w:spacing w:lineRule="exact" w:line="600" w:before="0" w:after="0"/>
        <w:ind w:firstLine="420"/>
        <w:jc w:val="both"/>
      </w:pPr>
      <w:r>
        <w:rPr>
          <w:rFonts w:ascii="仿宋_GB2312" w:hAnsi="仿宋_GB2312" w:eastAsia="仿宋_GB2312"/>
          <w:b w:val="0"/>
          <w:color w:val="000000"/>
          <w:sz w:val="32"/>
        </w:rPr>
        <w:t>企业口径员工200余人而参保人数仅38人，存在社保缴纳不足的合规敞口；"每周单休""月休2天"的作息安排与法定工时制度存在差距。随着劳动监察力度加强与劳动者维权意识提升，补缴社保、支付加班工资等或有负债可能集中显现，需在财务尽调中予以估算。</w:t>
      </w:r>
    </w:p>
    <w:p>
      <w:pPr>
        <w:spacing w:lineRule="exact" w:line="600" w:before="120" w:after="120"/>
        <w:ind w:firstLine="420"/>
        <w:jc w:val="left"/>
      </w:pPr>
      <w:r>
        <w:rPr>
          <w:rFonts w:ascii="黑体" w:hAnsi="黑体" w:eastAsia="黑体"/>
          <w:b w:val="0"/>
          <w:color w:val="000000"/>
          <w:sz w:val="32"/>
        </w:rPr>
        <w:t>七、融资需求分析与山东投资业务协同建议</w:t>
      </w:r>
    </w:p>
    <w:p>
      <w:pPr>
        <w:spacing w:lineRule="exact" w:line="600" w:before="120" w:after="120"/>
        <w:ind w:firstLine="420"/>
        <w:jc w:val="left"/>
      </w:pPr>
      <w:r>
        <w:rPr>
          <w:rFonts w:ascii="楷体_GB2312" w:hAnsi="楷体_GB2312" w:eastAsia="楷体_GB2312"/>
          <w:b w:val="0"/>
          <w:color w:val="000000"/>
          <w:sz w:val="32"/>
        </w:rPr>
        <w:t>（一）企业融资需求的总体判断</w:t>
      </w:r>
    </w:p>
    <w:p>
      <w:pPr>
        <w:spacing w:lineRule="exact" w:line="600" w:before="0" w:after="0"/>
        <w:ind w:firstLine="420"/>
        <w:jc w:val="both"/>
      </w:pPr>
      <w:r>
        <w:rPr>
          <w:rFonts w:ascii="仿宋_GB2312" w:hAnsi="仿宋_GB2312" w:eastAsia="仿宋_GB2312"/>
          <w:b w:val="0"/>
          <w:color w:val="000000"/>
          <w:sz w:val="32"/>
        </w:rPr>
        <w:t>综合判断，公司当前的融资需求呈现"以营运资金为主、以产能与仓储扩张为辅"的双轮特征。一方面，作为出口占比较高的制造企业，公司在原材料集中备货、成品旺季库存、出口发货至收汇的账期缺口三个环节形成刚性营运资金占用，2025年订单排产至10月、满负荷生产的状态更放大了这一需求；另一方面，公司正处于产品结构升级与产能扩张的关键期，2023年已启动仓储项目建设，未来在长效遮阳网、深海养殖网等新品类的产线投入、检测设备升级、跨境电商海外仓布局方面仍需持续资本开支。考虑到公司注册资本5000万元已全额实缴、股权结构简单、主业清晰、区域龙头地位稳固，具备承接综合金融服务的基础条件；但其财务信息不透明、自然人独资治理结构、参保与实际用工差异等因素，决定了业务方案设计必须强化实际控制人信用绑定与交易背景真实性核验。</w:t>
      </w:r>
    </w:p>
    <w:p>
      <w:pPr>
        <w:spacing w:lineRule="exact" w:line="600" w:before="120" w:after="120"/>
        <w:ind w:firstLine="420"/>
        <w:jc w:val="left"/>
      </w:pPr>
      <w:r>
        <w:rPr>
          <w:rFonts w:ascii="楷体_GB2312" w:hAnsi="楷体_GB2312" w:eastAsia="楷体_GB2312"/>
          <w:b w:val="0"/>
          <w:color w:val="000000"/>
          <w:sz w:val="32"/>
        </w:rPr>
        <w:t>（二）商业保理业务切入建议</w:t>
      </w:r>
    </w:p>
    <w:p>
      <w:pPr>
        <w:spacing w:lineRule="exact" w:line="600" w:before="0" w:after="0"/>
        <w:ind w:firstLine="420"/>
        <w:jc w:val="both"/>
      </w:pPr>
      <w:r>
        <w:rPr>
          <w:rFonts w:ascii="仿宋_GB2312" w:hAnsi="仿宋_GB2312" w:eastAsia="仿宋_GB2312"/>
          <w:b w:val="0"/>
          <w:color w:val="000000"/>
          <w:sz w:val="32"/>
        </w:rPr>
        <w:t>商业保理是与公司业务模式匹配度最高的产品之一。公司下游客户包括建筑施工企业、农业合作社、大型经销商以及境外采购商，在国内工程配套渠道中普遍存在3至6个月账期，在出口业务中则存在从装船到收汇的时间缺口。针对国内应收账款，可开展以工程总包方、大型经销商为付款人的有追索权保理；针对出口应收账款，可在投保出口信用保险并办理赔款权益转让的前提下，开展出口保理或保理与出口退税质押的组合融资，帮助企业提前回笼资金、缩短现金循环周期。</w:t>
      </w:r>
    </w:p>
    <w:p>
      <w:pPr>
        <w:spacing w:lineRule="exact" w:line="600" w:before="0" w:after="0"/>
        <w:ind w:firstLine="420"/>
        <w:jc w:val="both"/>
      </w:pPr>
      <w:r>
        <w:rPr>
          <w:rFonts w:ascii="仿宋_GB2312" w:hAnsi="仿宋_GB2312" w:eastAsia="仿宋_GB2312"/>
          <w:b w:val="0"/>
          <w:color w:val="000000"/>
          <w:sz w:val="32"/>
        </w:rPr>
        <w:t>操作要点上，建议优先选择应收账款确权清晰、付款方资信良好的核心客户订单开展有追索权保理，首期额度以企业上年度对该客户结算额的三至五成为宜，账期匹配真实回款周期并预留缓冲。同步要求企业提供近三年销售台账、增值税发票、出库单与对账单，建立"合同—发票—物流—回款"四流合一的验证机制，防范虚假贸易、重复融资与关联方虚构交易风险。对于出口业务形成的境外应收账款，应要求投保出口信用保险并办理赔款权益转让，将保单项下赔付作为第一还款来源的重要补充；对于向大型建筑施工企业供货形成的应收账款，还须核查是否已在其他机构办理过质押或保理，避免权属瑕疵与多头融资。</w:t>
      </w:r>
    </w:p>
    <w:p>
      <w:pPr>
        <w:spacing w:lineRule="exact" w:line="600" w:before="120" w:after="120"/>
        <w:ind w:firstLine="420"/>
        <w:jc w:val="left"/>
      </w:pPr>
      <w:r>
        <w:rPr>
          <w:rFonts w:ascii="楷体_GB2312" w:hAnsi="楷体_GB2312" w:eastAsia="楷体_GB2312"/>
          <w:b w:val="0"/>
          <w:color w:val="000000"/>
          <w:sz w:val="32"/>
        </w:rPr>
        <w:t>（三）供应链金融业务切入建议</w:t>
      </w:r>
    </w:p>
    <w:p>
      <w:pPr>
        <w:spacing w:lineRule="exact" w:line="600" w:before="0" w:after="0"/>
        <w:ind w:firstLine="420"/>
        <w:jc w:val="both"/>
      </w:pPr>
      <w:r>
        <w:rPr>
          <w:rFonts w:ascii="仿宋_GB2312" w:hAnsi="仿宋_GB2312" w:eastAsia="仿宋_GB2312"/>
          <w:b w:val="0"/>
          <w:color w:val="000000"/>
          <w:sz w:val="32"/>
        </w:rPr>
        <w:t>供应链金融方面，公司在惠民绳网集群中兼具"核心企业"与"链主"双重属性，既向上游原料贸易商大批量采购聚烯烃树脂，又向下游数以百计的经销商与外协工坊输出订单，具备构建产业链金融生态的天然条件。</w:t>
      </w:r>
    </w:p>
    <w:p>
      <w:pPr>
        <w:spacing w:lineRule="exact" w:line="600" w:before="0" w:after="0"/>
        <w:ind w:firstLine="420"/>
        <w:jc w:val="both"/>
      </w:pPr>
      <w:r>
        <w:rPr>
          <w:rFonts w:ascii="仿宋_GB2312" w:hAnsi="仿宋_GB2312" w:eastAsia="仿宋_GB2312"/>
          <w:b w:val="0"/>
          <w:color w:val="000000"/>
          <w:sz w:val="32"/>
        </w:rPr>
        <w:t>建议采取"1+N"模式：向上围绕聚乙烯、聚丙烯切片及母粒等大宗原材料采购环节提供订单融资与预付款融资，帮助企业在油价与树脂价格低位时集中锁价备货，平抑成本波动；向下围绕经销商、外贸综合服务企业与跨境电商平台卖家提供应收账款池融资与电子债权凭证流转服务，使核心企业信用向多级配套业户穿透。鉴于惠民绳网集群内加工业户数量众多、单户体量偏小，建议与李庄镇、姜楼镇政府及绳网产业新城管理服务中心、行业商协会合作，以园区白名单、集群整体授信方式降低单户尽调成本，提升业务的可复制性与规模效应。</w:t>
      </w:r>
    </w:p>
    <w:p>
      <w:pPr>
        <w:spacing w:lineRule="exact" w:line="600" w:before="120" w:after="120"/>
        <w:ind w:firstLine="420"/>
        <w:jc w:val="left"/>
      </w:pPr>
      <w:r>
        <w:rPr>
          <w:rFonts w:ascii="楷体_GB2312" w:hAnsi="楷体_GB2312" w:eastAsia="楷体_GB2312"/>
          <w:b w:val="0"/>
          <w:color w:val="000000"/>
          <w:sz w:val="32"/>
        </w:rPr>
        <w:t>（四）融资租赁业务切入建议</w:t>
      </w:r>
    </w:p>
    <w:p>
      <w:pPr>
        <w:spacing w:lineRule="exact" w:line="600" w:before="0" w:after="0"/>
        <w:ind w:firstLine="420"/>
        <w:jc w:val="both"/>
      </w:pPr>
      <w:r>
        <w:rPr>
          <w:rFonts w:ascii="仿宋_GB2312" w:hAnsi="仿宋_GB2312" w:eastAsia="仿宋_GB2312"/>
          <w:b w:val="0"/>
          <w:color w:val="000000"/>
          <w:sz w:val="32"/>
        </w:rPr>
        <w:t>融资租赁可服务于公司的设备更新与智能化改造需求。公司现有拉丝机30余台、经编机110余台，部分设备已运行多年，面临能效偏低、自动化程度不足、产品精度受限的问题；同时公司正推进智能化生产车间建设，在数控经编机、在线检测、自动包装码垛、立体仓储系统等方面存在明确的设备投资需求。通过融资租赁可在不占用银行授信额度的前提下完成设备升级，并将租金支出与设备产生的现金流相匹配。</w:t>
      </w:r>
    </w:p>
    <w:p>
      <w:pPr>
        <w:spacing w:lineRule="exact" w:line="600" w:before="0" w:after="0"/>
        <w:ind w:firstLine="420"/>
        <w:jc w:val="both"/>
      </w:pPr>
      <w:r>
        <w:rPr>
          <w:rFonts w:ascii="仿宋_GB2312" w:hAnsi="仿宋_GB2312" w:eastAsia="仿宋_GB2312"/>
          <w:b w:val="0"/>
          <w:color w:val="000000"/>
          <w:sz w:val="32"/>
        </w:rPr>
        <w:t>融资租赁应重点关注租赁物的通用性与处置价值。对高速拉丝机、双轴向/多梳栉经编机、圆织机、涂覆复合生产线、自动裁切缝制设备、色母混配与在线检测装置等标准化程度较高、二手交易活跃的设备，可采用直租或售后回租方式，租期建议三至五年，首付比例与保证金依企业资信分档设定；对高度定制化的专用线体、非标智能仓储装备，则应审慎评估，必要时追加担保、提高首付比例或引入厂商回购承诺。售后回租还可用于盘活企业既有设备，在不新增产能的前提下补充流动资金。</w:t>
      </w:r>
    </w:p>
    <w:p>
      <w:pPr>
        <w:spacing w:lineRule="exact" w:line="600" w:before="120" w:after="120"/>
        <w:ind w:firstLine="420"/>
        <w:jc w:val="left"/>
      </w:pPr>
      <w:r>
        <w:rPr>
          <w:rFonts w:ascii="楷体_GB2312" w:hAnsi="楷体_GB2312" w:eastAsia="楷体_GB2312"/>
          <w:b w:val="0"/>
          <w:color w:val="000000"/>
          <w:sz w:val="32"/>
        </w:rPr>
        <w:t>（五）小额贷款业务切入建议</w:t>
      </w:r>
    </w:p>
    <w:p>
      <w:pPr>
        <w:spacing w:lineRule="exact" w:line="600" w:before="0" w:after="0"/>
        <w:ind w:firstLine="420"/>
        <w:jc w:val="both"/>
      </w:pPr>
      <w:r>
        <w:rPr>
          <w:rFonts w:ascii="仿宋_GB2312" w:hAnsi="仿宋_GB2312" w:eastAsia="仿宋_GB2312"/>
          <w:b w:val="0"/>
          <w:color w:val="000000"/>
          <w:sz w:val="32"/>
        </w:rPr>
        <w:t>小额贷款业务的目标客户不应局限于公司本身，更应覆盖其周边的外协工坊与配套业户。公司作为链主，掌握数以百计的外协加工点的订单量、结算记录与质量评价数据，这些数据是传统金融机构难以获取的软信息。可与公司合作构建"核心企业推荐+订单数据验证+回款账户封闭管理"的小额信贷模式，既服务于集群普惠金融需求，也通过金融纽带增强公司对配套体系的掌控力。</w:t>
      </w:r>
    </w:p>
    <w:p>
      <w:pPr>
        <w:spacing w:lineRule="exact" w:line="600" w:before="0" w:after="0"/>
        <w:ind w:firstLine="420"/>
        <w:jc w:val="both"/>
      </w:pPr>
      <w:r>
        <w:rPr>
          <w:rFonts w:ascii="仿宋_GB2312" w:hAnsi="仿宋_GB2312" w:eastAsia="仿宋_GB2312"/>
          <w:b w:val="0"/>
          <w:color w:val="000000"/>
          <w:sz w:val="32"/>
        </w:rPr>
        <w:t>小额贷款可作为覆盖集群内中小配套业户的"毛细血管"型产品，重点解决旺季备货、临时性用工、订单赶工、参展获客等短频快资金需求。建议单户额度控制在五十万元至一千万元区间，期限以六个月至一年为主，采用"信用+保证+订单质押"的组合增信方式，并借助核心企业推荐名单、镇域产业白名单、纳税与用电数据构建准入模型，实现批量获客与风险分层定价。对红网工坊、家庭作坊等微型经营主体，可探索与地方农商行、担保公司风险共担的小额分散模式。</w:t>
      </w:r>
    </w:p>
    <w:p>
      <w:pPr>
        <w:spacing w:lineRule="exact" w:line="600" w:before="120" w:after="120"/>
        <w:ind w:firstLine="420"/>
        <w:jc w:val="left"/>
      </w:pPr>
      <w:r>
        <w:rPr>
          <w:rFonts w:ascii="楷体_GB2312" w:hAnsi="楷体_GB2312" w:eastAsia="楷体_GB2312"/>
          <w:b w:val="0"/>
          <w:color w:val="000000"/>
          <w:sz w:val="32"/>
        </w:rPr>
        <w:t>（六）综合服务与风险控制建议</w:t>
      </w:r>
    </w:p>
    <w:p>
      <w:pPr>
        <w:spacing w:lineRule="exact" w:line="600" w:before="0" w:after="0"/>
        <w:ind w:firstLine="420"/>
        <w:jc w:val="both"/>
      </w:pPr>
      <w:r>
        <w:rPr>
          <w:rFonts w:ascii="仿宋_GB2312" w:hAnsi="仿宋_GB2312" w:eastAsia="仿宋_GB2312"/>
          <w:b w:val="0"/>
          <w:color w:val="000000"/>
          <w:sz w:val="32"/>
        </w:rPr>
        <w:t>风险控制方面，建议构建"主体信用+交易信用+区域信用"三层防线。主体层面，要求提供经审计的年度财务会计报告（一人有限责任公司依法负有此义务）、近三年纳税申报表、征信报告、实际控制人及配偶连带责任保证；交易层面，实行"四流合一"核验，出口业务比对海关报关单与结汇水单，国内业务比对增值税发票与物流单据，并对回款账户实施监管；区域层面，与惠民县绳网产业新城管理服务中心、李庄镇政府及行业商协会建立信息共享机制，及时获取企业在集群内的经营口碑、环保安监处罚、欠薪欠款等负面信息。同时建议设置动态预警指标，包括用电量环比变化、海关出口额同比变化、司法涉诉新增情况、上下游客户集中度变化等，实现贷后风险的早识别、早处置。</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120" w:after="120"/>
        <w:ind w:firstLine="420"/>
        <w:jc w:val="left"/>
      </w:pPr>
      <w:r>
        <w:rPr>
          <w:rFonts w:ascii="楷体_GB2312" w:hAnsi="楷体_GB2312" w:eastAsia="楷体_GB2312"/>
          <w:b w:val="0"/>
          <w:color w:val="000000"/>
          <w:sz w:val="32"/>
        </w:rPr>
        <w:t>（一）综合评价</w:t>
      </w:r>
    </w:p>
    <w:p>
      <w:pPr>
        <w:spacing w:lineRule="exact" w:line="600" w:before="0" w:after="0"/>
        <w:ind w:firstLine="420"/>
        <w:jc w:val="both"/>
      </w:pPr>
      <w:r>
        <w:rPr>
          <w:rFonts w:ascii="仿宋_GB2312" w:hAnsi="仿宋_GB2312" w:eastAsia="仿宋_GB2312"/>
          <w:b w:val="0"/>
          <w:color w:val="000000"/>
          <w:sz w:val="32"/>
        </w:rPr>
        <w:t>山东金冠网具有限公司是山东滨州惠民（绳网）特色产业集群中最具代表性的龙头企业之一。公司成立26年，注册资本5000万元全额实缴，产权清晰、主业专注、区域地位稳固；拥有高新技术企业、省级企业技术中心资质，专利99项、商标91项，牵头制定全国"盖土抑尘网"标准，在行业标准话语权上处于领先地位；自2008年取得自营进出口权以来，构建了覆盖60至80余个国家和地区的出口渠道体系，并通过长效遮阳网等技术突破成功打开中东、欧美高端市场，完成了从建筑用网单一依赖向多品类、多场景的战略转型。总体评价为：区域龙头地位明确，技术与渠道优势突出，转型成效初步显现，属于集群内优质客户。</w:t>
      </w:r>
    </w:p>
    <w:p>
      <w:pPr>
        <w:spacing w:lineRule="exact" w:line="600" w:before="0" w:after="0"/>
        <w:ind w:firstLine="420"/>
        <w:jc w:val="both"/>
      </w:pPr>
      <w:r>
        <w:rPr>
          <w:rFonts w:ascii="仿宋_GB2312" w:hAnsi="仿宋_GB2312" w:eastAsia="仿宋_GB2312"/>
          <w:b w:val="0"/>
          <w:color w:val="000000"/>
          <w:sz w:val="32"/>
        </w:rPr>
        <w:t>同时必须清醒认识其局限：财务信息完全不透明，无法进行定量的偿债能力与盈利质量评估；自然人独资的治理结构缺乏制衡与外部监督；公示参保人数与实际用工规模差异巨大，存在社保与工时合规敞口；涉诉信息虽不算突出但仍需逐案核查；主营产品整体仍处于中低价值区间，易受原材料价格与行业价格战双向挤压。</w:t>
      </w:r>
    </w:p>
    <w:p>
      <w:pPr>
        <w:spacing w:lineRule="exact" w:line="600" w:before="120" w:after="120"/>
        <w:ind w:firstLine="420"/>
        <w:jc w:val="left"/>
      </w:pPr>
      <w:r>
        <w:rPr>
          <w:rFonts w:ascii="楷体_GB2312" w:hAnsi="楷体_GB2312" w:eastAsia="楷体_GB2312"/>
          <w:b w:val="0"/>
          <w:color w:val="000000"/>
          <w:sz w:val="32"/>
        </w:rPr>
        <w:t>（二）发展展望</w:t>
      </w:r>
    </w:p>
    <w:p>
      <w:pPr>
        <w:spacing w:lineRule="exact" w:line="600" w:before="0" w:after="0"/>
        <w:ind w:firstLine="420"/>
        <w:jc w:val="both"/>
      </w:pPr>
      <w:r>
        <w:rPr>
          <w:rFonts w:ascii="仿宋_GB2312" w:hAnsi="仿宋_GB2312" w:eastAsia="仿宋_GB2312"/>
          <w:b w:val="0"/>
          <w:color w:val="000000"/>
          <w:sz w:val="32"/>
        </w:rPr>
        <w:t>短期看（1至2年），公司的核心机遇在于出口市场的持续扩容。长效遮阳网在中东、欧美市场供不应求，2025年订单已排至10月，显示产品竞争力已获国际客户验证。同时，李庄镇跨境电商交易额三年翻三倍、全国外贸转型升级基地的创建，为公司借助本地物流与通关便利进一步扩大直接出口规模提供了基础设施支撑。</w:t>
      </w:r>
    </w:p>
    <w:p>
      <w:pPr>
        <w:spacing w:lineRule="exact" w:line="600" w:before="0" w:after="0"/>
        <w:ind w:firstLine="420"/>
        <w:jc w:val="both"/>
      </w:pPr>
      <w:r>
        <w:rPr>
          <w:rFonts w:ascii="仿宋_GB2312" w:hAnsi="仿宋_GB2312" w:eastAsia="仿宋_GB2312"/>
          <w:b w:val="0"/>
          <w:color w:val="000000"/>
          <w:sz w:val="32"/>
        </w:rPr>
        <w:t>中期看（3至5年），中国绳网产业新城建设是最大的结构性变量。总投资479.23亿元的48个项目将补齐原材料供应、机械设备制造、跨境电商、智慧仓储等短板环节，推动集群由"低成本制造洼地"向"全链条产业生态"升级。公司作为龙头企业，有望在新城建设中获得土地、厂房、政策与配套的优先支持，实现产能规模与产品档次的同步跃升。</w:t>
      </w:r>
    </w:p>
    <w:p>
      <w:pPr>
        <w:spacing w:lineRule="exact" w:line="600" w:before="0" w:after="0"/>
        <w:ind w:firstLine="420"/>
        <w:jc w:val="both"/>
      </w:pPr>
      <w:r>
        <w:rPr>
          <w:rFonts w:ascii="仿宋_GB2312" w:hAnsi="仿宋_GB2312" w:eastAsia="仿宋_GB2312"/>
          <w:b w:val="0"/>
          <w:color w:val="000000"/>
          <w:sz w:val="32"/>
        </w:rPr>
        <w:t>长期看，绳网产业的价值增量集中在深远海养殖网箱、海洋牧场、航空航天绳索、体育健身器材、应急救援装备等高端应用场景，核心技术门槛在于超高分子量聚乙烯纤维等高性能材料的应用能力。公司已与东华大学建立战略合作，并在集群层面参与中科院产学研基地建设，若能在高性能纤维制品上实现突破，将获得远高于传统绳网的利润空间和不可替代的行业地位。</w:t>
      </w:r>
    </w:p>
    <w:p>
      <w:pPr>
        <w:spacing w:lineRule="exact" w:line="600" w:before="120" w:after="120"/>
        <w:ind w:firstLine="420"/>
        <w:jc w:val="left"/>
      </w:pPr>
      <w:r>
        <w:rPr>
          <w:rFonts w:ascii="楷体_GB2312" w:hAnsi="楷体_GB2312" w:eastAsia="楷体_GB2312"/>
          <w:b w:val="0"/>
          <w:color w:val="000000"/>
          <w:sz w:val="32"/>
        </w:rPr>
        <w:t>（三）对企业的发展建议</w:t>
      </w:r>
    </w:p>
    <w:p>
      <w:pPr>
        <w:spacing w:lineRule="exact" w:line="600" w:before="0" w:after="0"/>
        <w:ind w:firstLine="420"/>
        <w:jc w:val="both"/>
      </w:pPr>
      <w:r>
        <w:rPr>
          <w:rFonts w:ascii="仿宋_GB2312" w:hAnsi="仿宋_GB2312" w:eastAsia="仿宋_GB2312"/>
          <w:b w:val="0"/>
          <w:color w:val="000000"/>
          <w:sz w:val="32"/>
        </w:rPr>
        <w:t>第一，加快财务规范化建设。建议尽早引入专业会计师事务所开展年度审计，建立符合企业会计准则的核算体系，为后续银行授信、政府项目申报乃至股权融资奠定信息基础。财务透明度的提升，本身即可显著降低融资成本。</w:t>
      </w:r>
    </w:p>
    <w:p>
      <w:pPr>
        <w:spacing w:lineRule="exact" w:line="600" w:before="0" w:after="0"/>
        <w:ind w:firstLine="420"/>
        <w:jc w:val="both"/>
      </w:pPr>
      <w:r>
        <w:rPr>
          <w:rFonts w:ascii="仿宋_GB2312" w:hAnsi="仿宋_GB2312" w:eastAsia="仿宋_GB2312"/>
          <w:b w:val="0"/>
          <w:color w:val="000000"/>
          <w:sz w:val="32"/>
        </w:rPr>
        <w:t>第二，优化股权与治理结构。可考虑引入产业投资基金、战略投资者或实施核心团队股权激励，将单一自然人独资转变为多元化持股，既补充资本金，也引入外部监督与专业化管理资源，为未来资本运作留出空间。</w:t>
      </w:r>
    </w:p>
    <w:p>
      <w:pPr>
        <w:spacing w:lineRule="exact" w:line="600" w:before="0" w:after="0"/>
        <w:ind w:firstLine="420"/>
        <w:jc w:val="both"/>
      </w:pPr>
      <w:r>
        <w:rPr>
          <w:rFonts w:ascii="仿宋_GB2312" w:hAnsi="仿宋_GB2312" w:eastAsia="仿宋_GB2312"/>
          <w:b w:val="0"/>
          <w:color w:val="000000"/>
          <w:sz w:val="32"/>
        </w:rPr>
        <w:t>第三，持续加大研发投入并向高端品类聚焦。建议围绕超高分子量聚乙烯纤维、阻燃抗老化功能化改性、深海养殖网箱结构设计等方向，与东华大学等院校深化联合攻关，将省级企业技术中心升级为省级重点实验室或工程研究中心。</w:t>
      </w:r>
    </w:p>
    <w:p>
      <w:pPr>
        <w:spacing w:lineRule="exact" w:line="600" w:before="0" w:after="0"/>
        <w:ind w:firstLine="420"/>
        <w:jc w:val="both"/>
      </w:pPr>
      <w:r>
        <w:rPr>
          <w:rFonts w:ascii="仿宋_GB2312" w:hAnsi="仿宋_GB2312" w:eastAsia="仿宋_GB2312"/>
          <w:b w:val="0"/>
          <w:color w:val="000000"/>
          <w:sz w:val="32"/>
        </w:rPr>
        <w:t>第四，强化用工合规管理。建议逐步规范社保参保范围，优化工时安排，完善外协工坊的质量与安全管理协议，既降低法律风险，也为参与国际大客户供应链审核（多数国际采购商实施社会责任审核）扫清障碍。</w:t>
      </w:r>
    </w:p>
    <w:p>
      <w:pPr>
        <w:spacing w:lineRule="exact" w:line="600" w:before="0" w:after="0"/>
        <w:ind w:firstLine="420"/>
        <w:jc w:val="both"/>
      </w:pPr>
      <w:r>
        <w:rPr>
          <w:rFonts w:ascii="仿宋_GB2312" w:hAnsi="仿宋_GB2312" w:eastAsia="仿宋_GB2312"/>
          <w:b w:val="0"/>
          <w:color w:val="000000"/>
          <w:sz w:val="32"/>
        </w:rPr>
        <w:t>第五，深化品牌国际化。在已完成欧盟28国马德里商标注册的基础上，进一步在中东、东南亚、拉美等新兴市场布局商标与专利，推动由"贴牌代工"向"自主品牌出口"转变，提升出口溢价能力。</w:t>
      </w:r>
    </w:p>
    <w:p>
      <w:pPr>
        <w:spacing w:lineRule="exact" w:line="600" w:before="120" w:after="120"/>
        <w:ind w:firstLine="420"/>
        <w:jc w:val="left"/>
      </w:pPr>
      <w:r>
        <w:rPr>
          <w:rFonts w:ascii="楷体_GB2312" w:hAnsi="楷体_GB2312" w:eastAsia="楷体_GB2312"/>
          <w:b w:val="0"/>
          <w:color w:val="000000"/>
          <w:sz w:val="32"/>
        </w:rPr>
        <w:t>（四）对山东投资开展合作的建议</w:t>
      </w:r>
    </w:p>
    <w:p>
      <w:pPr>
        <w:spacing w:lineRule="exact" w:line="600" w:before="0" w:after="0"/>
        <w:ind w:firstLine="420"/>
        <w:jc w:val="both"/>
      </w:pPr>
      <w:r>
        <w:rPr>
          <w:rFonts w:ascii="仿宋_GB2312" w:hAnsi="仿宋_GB2312" w:eastAsia="仿宋_GB2312"/>
          <w:b w:val="0"/>
          <w:color w:val="000000"/>
          <w:sz w:val="32"/>
        </w:rPr>
        <w:t>第一，建议将公司列为惠民绳网集群的重点储备客户，按照"先易后难、由点及面"的路径推进：首期以出口保理和设备融资租赁作为切入产品，单笔规模控制在1000万元至3000万元区间，通过一至两个业务周期检验其履约能力与配合度，再逐步扩大合作规模、导入供应链金融平台业务。</w:t>
      </w:r>
    </w:p>
    <w:p>
      <w:pPr>
        <w:spacing w:lineRule="exact" w:line="600" w:before="0" w:after="0"/>
        <w:ind w:firstLine="420"/>
        <w:jc w:val="both"/>
      </w:pPr>
      <w:r>
        <w:rPr>
          <w:rFonts w:ascii="仿宋_GB2312" w:hAnsi="仿宋_GB2312" w:eastAsia="仿宋_GB2312"/>
          <w:b w:val="0"/>
          <w:color w:val="000000"/>
          <w:sz w:val="32"/>
        </w:rPr>
        <w:t>第二，建议以公司为核心企业，设计集群整体金融服务方案。惠民绳网集群4257家企业、7100余户加工业户，是难得的普惠金融场景。通过与龙头企业共建订单数据与信用评价体系，可以低成本批量获取优质小微客户，实现单户风险分散与整体规模效应的统一。</w:t>
      </w:r>
    </w:p>
    <w:p>
      <w:pPr>
        <w:spacing w:lineRule="exact" w:line="600" w:before="0" w:after="0"/>
        <w:ind w:firstLine="420"/>
        <w:jc w:val="both"/>
      </w:pPr>
      <w:r>
        <w:rPr>
          <w:rFonts w:ascii="仿宋_GB2312" w:hAnsi="仿宋_GB2312" w:eastAsia="仿宋_GB2312"/>
          <w:b w:val="0"/>
          <w:color w:val="000000"/>
          <w:sz w:val="32"/>
        </w:rPr>
        <w:t>第三，建议主动对接中国绳网产业新城建设。新城48个项目、479.23亿元总投资中，实施类项目25个、总投资138.63亿元，涉及厂房建设、设备购置、智慧仓储、跨境电商基础设施等大量融资租赁与项目融资需求。建议与惠民县绳网产业新城管理服务中心建立常态化沟通机制，争取在项目融资、园区标准厂房售后回租、公共检测平台设备租赁等领域取得先发优势。</w:t>
      </w:r>
    </w:p>
    <w:p>
      <w:pPr>
        <w:spacing w:lineRule="exact" w:line="600" w:before="0" w:after="0"/>
        <w:ind w:firstLine="420"/>
        <w:jc w:val="both"/>
      </w:pPr>
      <w:r>
        <w:rPr>
          <w:rFonts w:ascii="仿宋_GB2312" w:hAnsi="仿宋_GB2312" w:eastAsia="仿宋_GB2312"/>
          <w:b w:val="0"/>
          <w:color w:val="000000"/>
          <w:sz w:val="32"/>
        </w:rPr>
        <w:t>第四，建议将风险防控关口前移。鉴于非上市企业财务信息不透明的普遍性，应建立以"税、电、关、诉、保"（纳税数据、用电数据、海关数据、涉诉数据、参保数据）为核心的替代性风险评估模型，并将实际控制人个人征信、对外担保、涉诉情况纳入统一监控，实现对县域民营制造企业的有效风险识别。</w:t>
      </w:r>
    </w:p>
    <w:p>
      <w:pPr>
        <w:spacing w:lineRule="exact" w:line="600" w:before="120" w:after="120"/>
        <w:ind w:firstLine="420"/>
        <w:jc w:val="left"/>
      </w:pPr>
      <w:r>
        <w:rPr>
          <w:rFonts w:ascii="黑体" w:hAnsi="黑体" w:eastAsia="黑体"/>
          <w:b w:val="0"/>
          <w:color w:val="000000"/>
          <w:sz w:val="32"/>
        </w:rPr>
        <w:t>数据来源说明</w:t>
      </w:r>
    </w:p>
    <w:p>
      <w:pPr>
        <w:spacing w:lineRule="exact" w:line="600" w:before="0" w:after="0"/>
        <w:jc w:val="left"/>
      </w:pPr>
      <w:r>
        <w:rPr>
          <w:rFonts w:ascii="仿宋_GB2312" w:hAnsi="仿宋_GB2312" w:eastAsia="仿宋_GB2312"/>
          <w:b w:val="0"/>
          <w:color w:val="000000"/>
          <w:sz w:val="28"/>
        </w:rPr>
        <w:t>1．工商登记信息：国家企业信用信息公示系统，天眼查、企查查、Wind企业库公开披露的登记备案信息，含统一社会信用代码、成立日期、注册资本、实缴资本、登记机关、经营范围、参保人数等字段。</w:t>
      </w:r>
    </w:p>
    <w:p>
      <w:pPr>
        <w:spacing w:lineRule="exact" w:line="600" w:before="0" w:after="0"/>
        <w:jc w:val="left"/>
      </w:pPr>
      <w:r>
        <w:rPr>
          <w:rFonts w:ascii="仿宋_GB2312" w:hAnsi="仿宋_GB2312" w:eastAsia="仿宋_GB2312"/>
          <w:b w:val="0"/>
          <w:color w:val="000000"/>
          <w:sz w:val="28"/>
        </w:rPr>
        <w:t>2．企业自主披露信息：公司官方网站（jinguannets.com）"关于我们""公司简介""产品中心"栏目，公司社会责任报告（2022年3月发布），公司仓储项目社会稳定风险分析评估公示（2023年11月）。</w:t>
      </w:r>
    </w:p>
    <w:p>
      <w:pPr>
        <w:spacing w:lineRule="exact" w:line="600" w:before="0" w:after="0"/>
        <w:jc w:val="left"/>
      </w:pPr>
      <w:r>
        <w:rPr>
          <w:rFonts w:ascii="仿宋_GB2312" w:hAnsi="仿宋_GB2312" w:eastAsia="仿宋_GB2312"/>
          <w:b w:val="0"/>
          <w:color w:val="000000"/>
          <w:sz w:val="28"/>
        </w:rPr>
        <w:t>3．政府公开信息：惠民县人民政府门户网站《关于对县十九届人大四次会议第1904042号关于〈加大对绳网产业扶持〉建议的答复》（2025年6月20日）、《2025年惠民县就业岗位信息（第二期）》（2025年2月13日）等主动公开文件。</w:t>
      </w:r>
    </w:p>
    <w:p>
      <w:pPr>
        <w:spacing w:lineRule="exact" w:line="600" w:before="0" w:after="0"/>
        <w:jc w:val="left"/>
      </w:pPr>
      <w:r>
        <w:rPr>
          <w:rFonts w:ascii="仿宋_GB2312" w:hAnsi="仿宋_GB2312" w:eastAsia="仿宋_GB2312"/>
          <w:b w:val="0"/>
          <w:color w:val="000000"/>
          <w:sz w:val="28"/>
        </w:rPr>
        <w:t>4．权威媒体报道：人民网山东频道《小绳网"牵"动百亿产业链》、齐鲁网·闪电新闻《走在前 挑大梁——产业链上的山东好品牌·滨州惠民：小绳网织出大集群》（2025年8月12日）、齐鲁晚报《行走黄河丨小绳网"织"成百亿大产业》、滨州日报·鲁北晚报《优化营商环境助推特色绳网产业发展》（2025年11月18日）等。</w:t>
      </w:r>
    </w:p>
    <w:p>
      <w:pPr>
        <w:spacing w:lineRule="exact" w:line="600" w:before="0" w:after="0"/>
        <w:jc w:val="left"/>
      </w:pPr>
      <w:r>
        <w:rPr>
          <w:rFonts w:ascii="仿宋_GB2312" w:hAnsi="仿宋_GB2312" w:eastAsia="仿宋_GB2312"/>
          <w:b w:val="0"/>
          <w:color w:val="000000"/>
          <w:sz w:val="28"/>
        </w:rPr>
        <w:t>5．行业与集群资料：工业和信息化部2024年度国家级中小企业特色产业集群公布名单，中国纺织工业联合会产业集群相关公开资料。</w:t>
      </w:r>
    </w:p>
    <w:p>
      <w:pPr>
        <w:spacing w:lineRule="exact" w:line="600" w:before="0" w:after="0"/>
        <w:jc w:val="left"/>
      </w:pPr>
      <w:r>
        <w:rPr>
          <w:rFonts w:ascii="仿宋_GB2312" w:hAnsi="仿宋_GB2312" w:eastAsia="仿宋_GB2312"/>
          <w:b w:val="0"/>
          <w:color w:val="000000"/>
          <w:sz w:val="28"/>
        </w:rPr>
        <w:t>6．本报告统计时点截至2026年8月。公司为非上市有限责任公司，未公开披露定期财务报告，凡涉及营业收入、利润、资产负债等财务指标之处，除企业自主宣传口径外均如实标注"财务数据未公开披露"，不作任何估算与推断。各渠道对员工人数、出口国别数量、产能等指标的表述存在口径与时点差异，本报告已在正文中并列注明，实际合作前应以企业提供的审计报告、纳税申报表、海关报关数据等一手材料为准。</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