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山东滨州无棣县(智能电气装备)特色产业集群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山东卓力电器有限公司企业分析报告</w:t>
      </w:r>
    </w:p>
    <w:p>
      <w:pPr>
        <w:spacing w:lineRule="exact" w:line="600" w:before="0" w:after="0"/>
        <w:jc w:val="left"/>
      </w:pPr>
      <w:r>
        <w:rPr>
          <w:rFonts w:ascii="仿宋_GB2312" w:hAnsi="仿宋_GB2312" w:eastAsia="仿宋_GB2312"/>
          <w:b w:val="0"/>
          <w:color w:val="000000"/>
          <w:sz w:val="28"/>
        </w:rPr>
        <w:t>（本报告基于公开渠道可查证数据撰写，统计时点截至2026年8月公开披露信息。山东卓力电器有限公司为非上市民营企业，经审计的财务数据未公开披露，相关章节已如实标注，未编造任何具体数字。数据来源见文末"数据来源说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卓力电器有限公司曾用名为滨州卓力电器有限公司，成立于2012年6月11日，统一社会信用代码为91371600597826971K，法定代表人为李於胜，注册资本6000万元人民币（公开信息显示实缴资本5102.49万元）。企业类型为有限责任公司（自然人投资或控股），登记机关为滨州市无棣县市场监督管理局，经营状态为开业。注册地址位于山东省滨州市无棣县西城棣州四路。公司前身为无棣县福利企业——海天机械，于2012年6月设立公司化运营。</w:t>
      </w:r>
    </w:p>
    <w:p>
      <w:pPr>
        <w:spacing w:lineRule="exact" w:line="600" w:before="0" w:after="0"/>
        <w:ind w:firstLine="420"/>
        <w:jc w:val="both"/>
      </w:pPr>
      <w:r>
        <w:rPr>
          <w:rFonts w:ascii="仿宋_GB2312" w:hAnsi="仿宋_GB2312" w:eastAsia="仿宋_GB2312"/>
          <w:b w:val="0"/>
          <w:color w:val="000000"/>
          <w:sz w:val="32"/>
        </w:rPr>
        <w:t>股权结构方面，公司由自然人李於胜、郭秀梅共同持股：李於胜持股70%，为法定代表人、执行董事兼总经理、实际控制人及受益所有人；郭秀梅持股30%，担任监事。公司无国有股东，系民营控股企业，不属国企或央企序列。</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实行执行董事兼总经理负责制，李於胜全面统筹，郭秀梅任监事。对外投资方面，公司控股或参股3家企业：优创国际贸易（山东）有限公司、欧创新能源（山东）有限公司、山东新绿能环保科技有限公司；另有一家已注销分支机构——山东卓力电器有限公司无棣分公司。业务上对标国家电网、中国石油、石化、能源集团、热力集团等大型央企国企，形成"研发—制造—贸易"一体化布局，并设市级研发中心。</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最早由无棣县福利企业海天机械发展而来，2012年6月设立山东卓力电器有限公司（曾用名滨州卓力电器）。2017年成立研发中心；2018年底被认定为高新技术企业；2019年通过滨州市工业设计中心认定，并入选山东省科创企业；2021年入选滨州市专精特新企业；2022年通过市级科技型中小企业能力提升工程项目；2023年入选省级创新型中小企业。公司启动"智能电网装备数字化智能制造升级改造项目"，总投资2.1亿元，推动产线智能化升级。2026年发布致全球合作伙伴新年贺信，国际化步伐加快。</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集信息技术与智能制造业于一体的行业领军企业"，主营电能计量箱、配电箱、高低压成套开关设备、燃气箱、电缆分支箱、安全工器具柜、防鸟设备、新型材质电缆保护管、防盗封印和施封锁等产品，广泛应用于智能电网、石油化工、市政公用事业等领域。其中施封锁系列广泛用于国网、海关、物流、化工、医药等行业，并出口欧、美、非等国家和地区。</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可分为：一是智能电网装备（电能计量箱、配电箱、高低压成套开关设备等）制造与销售，为核心板块；二是电力安全工器具与耗材（施封锁、防鸟设备、电缆保护管等）；三是对外贸易（优创国际贸易等子公司负责的出口业务）。公司官网称"年均过亿元的生产能力"、公开报道"连续三年复合增长率20%以上"，但具体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电能计量箱、综合配电箱、高低压成套开关设备、燃气箱、电缆分支箱、安全工器具柜、防鸟设备、新型材质电缆保护管、防盗封印、施封锁等。其中施封锁系列产品应用于国网、海关、物流、化工、医药等多领域，是公司差异化优势产品。官网显示拥有专利34项、软件著作权5项；百度百科显示专利技术达47项以上。主要产品取得电能计量箱、电缆分支箱、综合配电箱等CCC强制认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涵盖国家电网、南方电网、中国能源集团、中国石油、中国石化、热力集团、中国海关总署、中国神华、中国燃气等大型央企国企及地方市政单位，并出口至加拿大、美国、欧洲、非洲等市场。客户资质优、层级高，订单稳定性较强，但同样依赖集采中标与出口环境。</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采购以钢材、铜、铝、塑料粒子、电子元器件及锁具五金件为主。作为计量箱与开关设备制造商，原材料价格波动对成本影响显著。具体前五大供应商未公开披露。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无棣经济开发区西城工业园，公开信息显示占地面积约12000—20000平方米、建筑面积9000—13000平方米，拥有现代化标准厂房、先进生产流水线及研发试验检测设施；2026年新年贺信称拥有30000平方米现代化生产基地、130余人专业团队。研发方面设市级研发中心、滨州市工业设计中心。资质方面系高新技术企业、专精特新（省级创新型中小企业）、通过ISO9001/ISO14001/OHSAS18001体系认证，主要产品获CCC认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总部直营+集采投标+贸易子公司出海为主：对内服务国网、南网及能源央企集采；对外由优创国际贸易等子公司开展跨境电商与国际展会（如2024年俄罗斯国际展会），产品出口欧美非。渠道结构B2B直销为主，国际化程度在同集群中较高。</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信息显示公司"年均过亿元生产能力""连续三年复合增长率20%以上"、产品出口多国，但具体营收、产量、市场占有率数据未公开披露。海丰街道电气装备产业集群（母体）企业1200多家、产品1000多种、部分产品占全国市场份额40%，公司受益于集群规模与配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山东卓力电器有限公司为非上市民营企业，经审计的近三年财务报表未对外公开披露，无法获取权威财务数据。以下表格按"未公开披露"如实标注。</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402"/>
          </w:tcPr>
          <w:p>
            <w:pPr>
              <w:spacing w:lineRule="exact" w:line="600"/>
              <w:jc w:val="center"/>
            </w:pPr>
            <w:r/>
            <w:r>
              <w:rPr>
                <w:rFonts w:ascii="黑体" w:hAnsi="黑体" w:eastAsia="黑体"/>
                <w:b/>
                <w:color w:val="000000"/>
                <w:sz w:val="32"/>
              </w:rPr>
              <w:t>主要会计数据</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r>
      <w:tr>
        <w:tc>
          <w:tcPr>
            <w:tcW w:type="dxa" w:w="3402"/>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净利润（亿元）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毛利率（%）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经营性现金流净额（亿元）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财务数据未公开披露，无法量化盈利指标。定性看，公司产品含高毛利的施封锁、智能计量箱等差异化品类，且通过ISO体系与CCC认证具备质量溢价，盈利能力预计优于纯低端加工企业，但具体水平缺乏公开数据。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资产质量指标未公开披露。公司实缴资本5102.49万元，固定资产（厂房、产线）与无形资产（专利47项以上、CCC认证）占比较大；2.1亿元智能制改造项目将推高固定资产投入。</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负债与偿债能力数据未公开披露。2.1亿元智能化改造项目存在资本开支与融资需求，真实杠杆需在尽调中以征信核实。</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现金流数据未公开披露。公司处于智能化改造与出海扩张期，投资性现金流出较大，对经营回款与外部融资依赖较高。</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缺乏公开财务数据，暂无法与同集群欧创电气、国棣电力及行业上市公司量化对标。三家公司同处无棣智能电气装备集群、同以电网/能源央企为核心客户，可在尽调中以产值、专利数（卓力47项以上居前）、出口占比做定性比较。</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民营有限责任公司，李於胜任执行董事兼总经理（持股70%、实控人），郭秀梅任监事（持股30%）。未设董事会、监事会，治理简洁，不涉国资监管与"三重一大"程序。</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李於胜，法定代表人、执行董事兼总经理、控股股东及实际控制人，系公司战略与经营核心。郭秀梅，持股30%，任监事。管理层稳定。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引入"5S+2"管理机制，按ISO9001、ISO14001、OHSAS18001建立质量、环境、职业健康安全管理体系并通过认证。重视技术创新与服务，获中国商务诚信平台"商品质量信得过单位""守合同重信誉企业""质量、服务、诚信AAA级企业"证书。党建方面，公司拥护党的领导、支持政府工作，获地方"先进基层党支部""富民兴办先进企业"等荣誉，体现党建引领与社会责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用工口径存在差异：官网称员工130多人、百度百科称约160余人，而天眼查显示2023年参保人数16人、人员规模小于50人，推测大量一线生产用工未完全计入社保口径或含劳务用工。研发端设市级研发中心，专利47项以上，技术与研发力量在集群内较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认证壁垒：专利47项以上、CCC强制认证、ISO三体系认证，施封锁等差异化产品技术门槛较高。二是客户与资质壁垒：服务国网、南网、石油石化、海关等顶级客户，集采与出口双资质。三是党建与品牌：先进基层党支部、AAA级诚信企业，政府认可度高。四是产能与智能化：2.1亿元智能制改造项目提升自动化与交付能力。五是国际化：贸易子公司+跨境电商+国际展会，出口欧美非，第二曲线清晰。</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（一）客户集中与集采依赖风险：收入高度依赖国网南网及能源央企中标。应对措施：拓展出口与市政、物流新客户。</w:t>
      </w:r>
    </w:p>
    <w:p>
      <w:pPr>
        <w:spacing w:lineRule="exact" w:line="600" w:before="0" w:after="0"/>
        <w:ind w:firstLine="420"/>
        <w:jc w:val="both"/>
      </w:pPr>
      <w:r>
        <w:rPr>
          <w:rFonts w:ascii="仿宋_GB2312" w:hAnsi="仿宋_GB2312" w:eastAsia="仿宋_GB2312"/>
          <w:b w:val="0"/>
          <w:color w:val="000000"/>
          <w:sz w:val="32"/>
        </w:rPr>
        <w:t>（二）原材料价格波动风险：钢铜铝塑料占成本比重大。应对措施：锁价采购与工艺降本。</w:t>
      </w:r>
    </w:p>
    <w:p>
      <w:pPr>
        <w:spacing w:lineRule="exact" w:line="600" w:before="0" w:after="0"/>
        <w:ind w:firstLine="420"/>
        <w:jc w:val="both"/>
      </w:pPr>
      <w:r>
        <w:rPr>
          <w:rFonts w:ascii="仿宋_GB2312" w:hAnsi="仿宋_GB2312" w:eastAsia="仿宋_GB2312"/>
          <w:b w:val="0"/>
          <w:color w:val="000000"/>
          <w:sz w:val="32"/>
        </w:rPr>
        <w:t>（三）民营实控集中风险：李於胜持股70%并任执行董事总经理，关键人风险。应对措施：完善监事监督与财务规范。</w:t>
      </w:r>
    </w:p>
    <w:p>
      <w:pPr>
        <w:spacing w:lineRule="exact" w:line="600" w:before="0" w:after="0"/>
        <w:ind w:firstLine="420"/>
        <w:jc w:val="both"/>
      </w:pPr>
      <w:r>
        <w:rPr>
          <w:rFonts w:ascii="仿宋_GB2312" w:hAnsi="仿宋_GB2312" w:eastAsia="仿宋_GB2312"/>
          <w:b w:val="0"/>
          <w:color w:val="000000"/>
          <w:sz w:val="32"/>
        </w:rPr>
        <w:t>（四）用工口径与人才风险：社保参保人数与产能描述差异较大，研发与外贸人才待补充。应对措施：规范用工、引育人才。</w:t>
      </w:r>
    </w:p>
    <w:p>
      <w:pPr>
        <w:spacing w:lineRule="exact" w:line="600" w:before="0" w:after="0"/>
        <w:ind w:firstLine="420"/>
        <w:jc w:val="both"/>
      </w:pPr>
      <w:r>
        <w:rPr>
          <w:rFonts w:ascii="仿宋_GB2312" w:hAnsi="仿宋_GB2312" w:eastAsia="仿宋_GB2312"/>
          <w:b w:val="0"/>
          <w:color w:val="000000"/>
          <w:sz w:val="32"/>
        </w:rPr>
        <w:t>（五）扩张资金风险：2.1亿元改造项目带来资金压力。应对措施：融资租赁+项目贷。</w:t>
      </w:r>
    </w:p>
    <w:p>
      <w:pPr>
        <w:spacing w:lineRule="exact" w:line="600" w:before="0" w:after="0"/>
        <w:ind w:firstLine="420"/>
        <w:jc w:val="both"/>
      </w:pPr>
      <w:r>
        <w:rPr>
          <w:rFonts w:ascii="仿宋_GB2312" w:hAnsi="仿宋_GB2312" w:eastAsia="仿宋_GB2312"/>
          <w:b w:val="0"/>
          <w:color w:val="000000"/>
          <w:sz w:val="32"/>
        </w:rPr>
        <w:t>（六）国际贸易风险：出口受汇率与壁垒影响。应对措施：多区域分散、本地化运营。合规方面未见公开处罚记录，但强制认证与产品质量责任须持续关注。</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（一）保理业务：对国网、南网及能源央企应收账款信用高、账期长，适合无追索权保理盘活资金。</w:t>
      </w:r>
    </w:p>
    <w:p>
      <w:pPr>
        <w:spacing w:lineRule="exact" w:line="600" w:before="0" w:after="0"/>
        <w:ind w:firstLine="420"/>
        <w:jc w:val="both"/>
      </w:pPr>
      <w:r>
        <w:rPr>
          <w:rFonts w:ascii="仿宋_GB2312" w:hAnsi="仿宋_GB2312" w:eastAsia="仿宋_GB2312"/>
          <w:b w:val="0"/>
          <w:color w:val="000000"/>
          <w:sz w:val="32"/>
        </w:rPr>
        <w:t>（二）供应链金融：围绕钢铜铝及元器件采购开展反向供应链金融。</w:t>
      </w:r>
    </w:p>
    <w:p>
      <w:pPr>
        <w:spacing w:lineRule="exact" w:line="600" w:before="0" w:after="0"/>
        <w:ind w:firstLine="420"/>
        <w:jc w:val="both"/>
      </w:pPr>
      <w:r>
        <w:rPr>
          <w:rFonts w:ascii="仿宋_GB2312" w:hAnsi="仿宋_GB2312" w:eastAsia="仿宋_GB2312"/>
          <w:b w:val="0"/>
          <w:color w:val="000000"/>
          <w:sz w:val="32"/>
        </w:rPr>
        <w:t>（三）融资租赁：2.1亿元智能电网装备数字化智能制造升级改造项目设备投入适合融资租赁，平滑现金流。</w:t>
      </w:r>
    </w:p>
    <w:p>
      <w:pPr>
        <w:spacing w:lineRule="exact" w:line="600" w:before="0" w:after="0"/>
        <w:ind w:firstLine="420"/>
        <w:jc w:val="both"/>
      </w:pPr>
      <w:r>
        <w:rPr>
          <w:rFonts w:ascii="仿宋_GB2312" w:hAnsi="仿宋_GB2312" w:eastAsia="仿宋_GB2312"/>
          <w:b w:val="0"/>
          <w:color w:val="000000"/>
          <w:sz w:val="32"/>
        </w:rPr>
        <w:t>（四）小额贷款：投标与履约保证金短期周转由小贷业务覆盖。公司技术资质优、出口强劲、成长性高，是山东投资在智能电气装备赛道优先对接的产融协同标的，须以财务尽调为前提。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小结：山东卓力电器有限公司是集智能电网装备研发制造与国际贸易于一体的高新技术企业、省级创新型中小企业，专利储备（47项以上）与出口能力在集群内领先，党建与诚信品牌建设扎实，整体竞争力突出。</w:t>
      </w:r>
    </w:p>
    <w:p>
      <w:pPr>
        <w:spacing w:lineRule="exact" w:line="600" w:before="0" w:after="0"/>
        <w:ind w:firstLine="420"/>
        <w:jc w:val="both"/>
      </w:pPr>
      <w:r>
        <w:rPr>
          <w:rFonts w:ascii="仿宋_GB2312" w:hAnsi="仿宋_GB2312" w:eastAsia="仿宋_GB2312"/>
          <w:b w:val="0"/>
          <w:color w:val="000000"/>
          <w:sz w:val="32"/>
        </w:rPr>
        <w:t>未来发展展望：智能电网与新型电力系统建设、海关物流施封锁需求、出海三大动力共振；2.1亿元智能制改造投产后交付与质量能力将进一步增强，有望由区域配套商迈向行业领军。</w:t>
      </w:r>
    </w:p>
    <w:p>
      <w:pPr>
        <w:spacing w:lineRule="exact" w:line="600" w:before="0" w:after="0"/>
        <w:ind w:firstLine="420"/>
        <w:jc w:val="both"/>
      </w:pPr>
      <w:r>
        <w:rPr>
          <w:rFonts w:ascii="仿宋_GB2312" w:hAnsi="仿宋_GB2312" w:eastAsia="仿宋_GB2312"/>
          <w:b w:val="0"/>
          <w:color w:val="000000"/>
          <w:sz w:val="32"/>
        </w:rPr>
        <w:t>面临挑战：财务透明度低、用工口径差异、关键人集中、改造项目资金压力。</w:t>
      </w:r>
    </w:p>
    <w:p>
      <w:pPr>
        <w:spacing w:lineRule="exact" w:line="600" w:before="0" w:after="0"/>
        <w:ind w:firstLine="420"/>
        <w:jc w:val="both"/>
      </w:pPr>
      <w:r>
        <w:rPr>
          <w:rFonts w:ascii="仿宋_GB2312" w:hAnsi="仿宋_GB2312" w:eastAsia="仿宋_GB2312"/>
          <w:b w:val="0"/>
          <w:color w:val="000000"/>
          <w:sz w:val="32"/>
        </w:rPr>
        <w:t>结论与建议：建议山东投资在补充尽调前提下，优先以融资租赁支持其2.1亿元智能制改造、以保理/供应链金融盘活营运资金；并推动其与欧创电气、国棣电力在集群内协同出海与集采议价。</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天眼查、百度百科：山东卓力电器有限公司工商登记、曾用名、股权（李於胜70%/郭秀梅30%）、实缴资本5102.49万元、对外投资与分支机构、专利与资质等。</w:t>
      </w:r>
    </w:p>
    <w:p>
      <w:pPr>
        <w:spacing w:lineRule="exact" w:line="600" w:before="0" w:after="0"/>
        <w:ind w:firstLine="420"/>
        <w:jc w:val="both"/>
      </w:pPr>
      <w:r>
        <w:rPr>
          <w:rFonts w:ascii="仿宋_GB2312" w:hAnsi="仿宋_GB2312" w:eastAsia="仿宋_GB2312"/>
          <w:b w:val="0"/>
          <w:color w:val="000000"/>
          <w:sz w:val="32"/>
        </w:rPr>
        <w:t>2. 公司官网（zgzldq.com）：企业简介、产品、研发中心、资质认证、管理体系与荣誉。</w:t>
      </w:r>
    </w:p>
    <w:p>
      <w:pPr>
        <w:spacing w:lineRule="exact" w:line="600" w:before="0" w:after="0"/>
        <w:ind w:firstLine="420"/>
        <w:jc w:val="both"/>
      </w:pPr>
      <w:r>
        <w:rPr>
          <w:rFonts w:ascii="仿宋_GB2312" w:hAnsi="仿宋_GB2312" w:eastAsia="仿宋_GB2312"/>
          <w:b w:val="0"/>
          <w:color w:val="000000"/>
          <w:sz w:val="32"/>
        </w:rPr>
        <w:t>3. 公司2026年新年贺信及公开报道：生产基地、团队、出口与智能电网布局。</w:t>
      </w:r>
    </w:p>
    <w:p>
      <w:pPr>
        <w:spacing w:lineRule="exact" w:line="600" w:before="0" w:after="0"/>
        <w:ind w:firstLine="420"/>
        <w:jc w:val="both"/>
      </w:pPr>
      <w:r>
        <w:rPr>
          <w:rFonts w:ascii="仿宋_GB2312" w:hAnsi="仿宋_GB2312" w:eastAsia="仿宋_GB2312"/>
          <w:b w:val="0"/>
          <w:color w:val="000000"/>
          <w:sz w:val="32"/>
        </w:rPr>
        <w:t>4. 无棣县政府官网及集群报道：智能电气装备特色产业集群背景。财务数据因非上市未披露，相关章节均如实标注。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