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山东滨州无棣县(智能电气装备)特色产业集群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山东欧创电气有限公司企业分析报告</w:t>
      </w:r>
    </w:p>
    <w:p>
      <w:pPr>
        <w:spacing w:lineRule="exact" w:line="600" w:before="0" w:after="0"/>
        <w:jc w:val="left"/>
      </w:pPr>
      <w:r>
        <w:rPr>
          <w:rFonts w:ascii="仿宋_GB2312" w:hAnsi="仿宋_GB2312" w:eastAsia="仿宋_GB2312"/>
          <w:b w:val="0"/>
          <w:color w:val="000000"/>
          <w:sz w:val="28"/>
        </w:rPr>
        <w:t>（本报告基于公开渠道可查证数据撰写，统计时点截至2026年8月公开披露信息。山东欧创电气有限公司为非上市民营企业，经审计的财务数据未公开披露，相关章节已如实标注，未编造任何具体数字。数据来源见文末"数据来源说明"。）</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欧创电气有限公司成立于2014年7月16日，统一社会信用代码为91371623310414081Q，法定代表人为刘清华，注册资本3000万元人民币（公开工商信息显示实缴资本1118万元）。企业类型为有限责任公司（自然人投资或控股），登记机关为滨州市无棣县市场监督管理局，经营状态为存续（开业）。注册地址位于山东省滨州市无棣县西城工业园。公司所属行业为电气机械和器材制造业，国民经济行业分类为"其他未列明电气机械及器材制造"。</w:t>
      </w:r>
    </w:p>
    <w:p>
      <w:pPr>
        <w:spacing w:lineRule="exact" w:line="600" w:before="0" w:after="0"/>
        <w:ind w:firstLine="420"/>
        <w:jc w:val="both"/>
      </w:pPr>
      <w:r>
        <w:rPr>
          <w:rFonts w:ascii="仿宋_GB2312" w:hAnsi="仿宋_GB2312" w:eastAsia="仿宋_GB2312"/>
          <w:b w:val="0"/>
          <w:color w:val="000000"/>
          <w:sz w:val="32"/>
        </w:rPr>
        <w:t>股权结构方面，公司由自然人刘清华、郭秀清共同持股：刘清华持股80%，为控股股东、法定代表人、执行董事兼总经理、实际控制人及受益所有人；郭秀清持股20%，担任监事。公开信息显示公司无国有股东，系民营控股企业，企业类型为自然人投资或控股，不属于国企或央企序列。公司人员规模小于50人，2025年参保人数为10人，系小微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实行民营中小企业典型的扁平化治理结构：设执行董事兼总经理（刘清华）全面负责经营决策，监事（郭秀清）履行监督职责。生产运营体系包括4幢大型生产车间及集生产、管理、研发、销售于一体的"产管研销"运营中心。对外投资方面，公开信息显示刘清华同时担任山东欧创电力科技有限公司监事，并曾控制多家已注销的关联销售分公司（如山东新绿能环保科技有限公司相关分公司、山东优能电力工程有限公司无棣分公司等）。业务开展以总部直营、对接国家电网及能源央企集采体系为主。</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2014年7月，公司注册成立，初期以电力器材、锁具、铅封等基础产品起步。2018年前后取得高新技术企业资质，逐步由低端器材向高端电力装备转型。2021—2022年完成股权结构调整（刘清华持股提升至80%）并大幅扩充经营范围，新增光伏设备及元器件制造销售、配电开关控制设备研发等。2024年，"高端电力装备智能制造一体化项目"顺利投产，建成智能制造车间并投用自主研发的自动化设备。2025年，公司作为无棣县智能电力装备产业集群核心企业代表，参加滨州市"5210N"产业集群记者见面会，品牌影响力显著提升。</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专注于高端电力装备与电力器材研发生产的高新技术企业、专精特新企业"，系无棣县智能电力装备产业集群的核心企业之一，致力于成为全国性智能电力装备标杆企业。主营业务涵盖三大方向：一是国家电网高端电力装备供应（配电开关控制设备、电力设施器材等）；二是中石油、中石化、中国燃气等能源央企的物资配套；三是跨境电商领域的新能源光伏板、铅封、锁具等产品。产品广泛应用于智能电网、新型电力系统及能源装备配套。</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可归纳为三大板块：第一板块为国家电网及南方电网体系的高端电力装备与配电开关控制设备，系核心收入来源；第二板块为面向中石油、中石化、中国燃气等能源央企的物资配套；第三板块为面向海外市场的跨境电商业务（光伏板、铅封、锁具等）。由于财务数据未公开披露，各板块具体收入占比无法量化，但公开报道显示公司"连续三年复合增长率20%以上"，业务处于快速扩张期。</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配电开关控制设备、电力设施器材、机械电气设备、安全与消防用金属制品、金属工具、玻璃纤维增强塑料制品、光伏设备及元器件、防火封堵材料、金属结构件等；跨境电商产品涵盖铅封、锁具、光伏板等。技术创新方面，媒体报道公司拥有发明专利5项、实用新型专利25项、软件著作权5项，并参与制定多项行业标准；天眼查数据显示公司专利信息34条、商标信息6条、著作权信息1条、行政许可7个。公司形成了较为完整的自主知识产权管理体系。</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核心客户分为三类：一是国家电网、南方电网及其下属省级电力公司（已入围国家电网23个省级公司及南方电网招标）；二是中石油、中石化、中国燃气等能源央企；三是海外客户（通过跨境电商及参加国际展会开拓，产品出口亚、欧、美、非等国家和地区）。客户以大客户、央企与电网公司为主，订单稳定性较强，但对集采中标依赖度较高。</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采购以铜、铝、钢材等金属材料、电子元器件及高分子复合材料（如复合绝缘子硅胶材料）为主。作为电气机械制造企业，原材料价格（尤其铜、铝价格）波动对成本端影响显著。具体前五大供应商名称及采购占比未通过公开渠道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约9000平方米，厂房建筑面积约20000平方米，拥有4幢大型生产车间及"产管研销"运营中心，配备先进流水线与检测设备；2024年投产的智能制造一体化项目进一步提升了自动化产能。研发资源方面，公司拥有滨州市技术研发中心、滨州市"一企一技术"研发中心、滨州市工程研究中心，并与山东航空学院合作共建滨州市重点实验室。资质方面，公司系国家高新技术企业、专精特新中小企业、科技型中小企业，拥有相关行政许可7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总部直营+招投标入围"为核心模式：在稳定山东电力招投标业务基础上，积极拓展国家电网23个省级公司及南方电网招标入围；同时借助参加国外展会、推进跨境电商运营开拓国际市场。渠道结构以B2B集采直销为主，议价能力高度依赖技术资质与入围资格。</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报道显示公司"连续三年复合增长率20%以上"、产品出口亚欧美非、订单饱满，但具体营业收入、产量、细分市场占有率等数据未公开披露。公司作为无棣县智能电力装备产业集群核心企业，在智能电力设备领域占据一席之地，并通过参与国家智能配电等标准制定提升产业链话语权。海丰街道电气装备产业（集群母体）拥有生产、销售、施工企业1200多家、1000多种产品，部分产品占全国市场份额达40%，公司受益于集群协同效应。</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山东欧创电气有限公司为非上市民营企业，经审计的近三年财务报表未对外公开披露，无法获取权威财务数据。以下表格按"未公开披露"如实标注，不构成任何预测或估计。</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402"/>
          </w:tcPr>
          <w:p>
            <w:pPr>
              <w:spacing w:lineRule="exact" w:line="600"/>
              <w:jc w:val="center"/>
            </w:pPr>
            <w:r/>
            <w:r>
              <w:rPr>
                <w:rFonts w:ascii="黑体" w:hAnsi="黑体" w:eastAsia="黑体"/>
                <w:b/>
                <w:color w:val="000000"/>
                <w:sz w:val="32"/>
              </w:rPr>
              <w:t>主要会计数据</w:t>
            </w:r>
          </w:p>
        </w:tc>
        <w:tc>
          <w:tcPr>
            <w:tcW w:type="dxa" w:w="1984"/>
          </w:tcPr>
          <w:p>
            <w:pPr>
              <w:spacing w:lineRule="exact" w:line="600"/>
              <w:jc w:val="center"/>
            </w:pPr>
            <w:r/>
            <w:r>
              <w:rPr>
                <w:rFonts w:ascii="黑体" w:hAnsi="黑体" w:eastAsia="黑体"/>
                <w:b/>
                <w:color w:val="000000"/>
                <w:sz w:val="32"/>
              </w:rPr>
              <w:t>2022年</w:t>
            </w:r>
          </w:p>
        </w:tc>
        <w:tc>
          <w:tcPr>
            <w:tcW w:type="dxa" w:w="1984"/>
          </w:tcPr>
          <w:p>
            <w:pPr>
              <w:spacing w:lineRule="exact" w:line="600"/>
              <w:jc w:val="center"/>
            </w:pPr>
            <w:r/>
            <w:r>
              <w:rPr>
                <w:rFonts w:ascii="黑体" w:hAnsi="黑体" w:eastAsia="黑体"/>
                <w:b/>
                <w:color w:val="000000"/>
                <w:sz w:val="32"/>
              </w:rPr>
              <w:t>2023年</w:t>
            </w:r>
          </w:p>
        </w:tc>
        <w:tc>
          <w:tcPr>
            <w:tcW w:type="dxa" w:w="1984"/>
          </w:tcPr>
          <w:p>
            <w:pPr>
              <w:spacing w:lineRule="exact" w:line="600"/>
              <w:jc w:val="center"/>
            </w:pPr>
            <w:r/>
            <w:r>
              <w:rPr>
                <w:rFonts w:ascii="黑体" w:hAnsi="黑体" w:eastAsia="黑体"/>
                <w:b/>
                <w:color w:val="000000"/>
                <w:sz w:val="32"/>
              </w:rPr>
              <w:t>2024年</w:t>
            </w:r>
          </w:p>
        </w:tc>
      </w:tr>
      <w:tr>
        <w:tc>
          <w:tcPr>
            <w:tcW w:type="dxa" w:w="3402"/>
          </w:tcPr>
          <w:p>
            <w:pPr>
              <w:spacing w:lineRule="exact" w:line="600"/>
              <w:jc w:val="center"/>
            </w:pPr>
            <w:r/>
            <w:r>
              <w:rPr>
                <w:rFonts w:ascii="仿宋_GB2312" w:hAnsi="仿宋_GB2312" w:eastAsia="仿宋_GB2312"/>
                <w:b w:val="0"/>
                <w:color w:val="000000"/>
                <w:sz w:val="32"/>
              </w:rPr>
              <w:t>营业收入（亿元）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净利润（亿元）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毛利率（%）</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资产负债率（%）</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r>
        <w:tc>
          <w:tcPr>
            <w:tcW w:type="dxa" w:w="3402"/>
          </w:tcPr>
          <w:p>
            <w:pPr>
              <w:spacing w:lineRule="exact" w:line="600"/>
              <w:jc w:val="center"/>
            </w:pPr>
            <w:r/>
            <w:r>
              <w:rPr>
                <w:rFonts w:ascii="仿宋_GB2312" w:hAnsi="仿宋_GB2312" w:eastAsia="仿宋_GB2312"/>
                <w:b w:val="0"/>
                <w:color w:val="000000"/>
                <w:sz w:val="32"/>
              </w:rPr>
              <w:t>经营性现金流净额（亿元）</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c>
          <w:tcPr>
            <w:tcW w:type="dxa" w:w="1984"/>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因财务数据未公开披露，无法进行毛利率、净利率等盈利指标的量化分析。定性看，公司所处的智能电力装备属技术密集型细分领域，具备一定产品附加值；公开报道称其"连续三年复合增长率20%以上"，侧面反映营收端处于增长通道，但盈利能力与费用控制情况缺乏公开数据支撑。</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质量相关指标未公开披露。公司2024年投产智能制造一体化项目，固定资产与设备投入有所加大；知识产权（专利34项、商标6项）及行业标准参与构成无形资产壁垒。整体资产结构偏向设备与厂房等固定资产，具体资产周转率无从量化。</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负债总额、资产负债率、有息负债等数据未公开披露。作为小微企业，公司融资以银行信贷及股东投入为主，偿债安全边际缺乏公开数据。建议后续对接时要求企业提供征信与银行流水以评估真实杠杆水平。</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经营性现金流、投资性现金流、筹资性现金流均未公开披露。公司处于产能扩张（2024年智能制造成套项目投产）与海外市场开拓期，投资性现金流出可能较大，对外部融资及经营回款依赖度较高。</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因缺乏可比公开财务数据，暂无法与同集群的山东国棣电力器材有限公司、山东卓力电器有限公司及行业上市公司进行量化对标。三家企业同处无棣县智能电气装备集群，均以电网/能源央企集采为核心客户，业务结构相近，可在尽调阶段以营收规模、专利数量、入围资质等维度做定性比较。</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民营有限责任公司，治理结构简洁：刘清华任执行董事兼总经理，全面负责经营；郭秀清任监事，履行监督职能。未设董事会、监事会，系典型中小企业治理形态。公司无国有股东，不涉国资监管与"三重一大"决策程序。</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刘清华，法定代表人、执行董事兼总经理、控股股东（80%）及实际控制人，关联企业6家，系公司核心决策者。郭秀清，持股20%，担任监事。管理层稳定，但决策权高度集中。</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重视技术与质量管理：建立自主知识产权管理体系，参与多项行业标准制定，拥有滨州市级研发中心与重点实验室。无棣县科技局、工信局、发改局等单位多次组织企业赴南京、北京、杭州等地交流学习，引入先进生产管理经验；通过自动化设备改造升级提升产能与绿色制造水平。未公开披露ISO体系认证情况。</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开工商信息显示公司人员规模小于50人、2025年参保人数10人，与报道中"4幢车间、产管研销中心"的产能描述存在差异，推测生产一线大量用工未完全计入社保口径或存在劳务用工。研发端依托与山东航空学院共建的市级重点实验室集聚高端人才，整体呈现"研发精干、生产用工弹性"特征。</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与知识产权壁垒：拥有专利34项（含发明专利5项）、软著5项，参与多项行业标准制定，并建有市级研发中心与重点实验室。二是客户与资质壁垒：入围国家电网23个省级公司及南方电网招标，并进入中石油、中石化、中国燃气供应体系，集采资质构成较高进入门槛。三是产业集群协同：作为无棣县智能电力装备产业集群核心企业，享受地方政府帮扶（科技、工信、发改联合支持）与集群配套。四是自动化与绿色制造：2024年智能制造一体化项目投产，自研自动化设备降低人工成本、增强绿色制造优势。五是国际化布局：跨境电商与海外展会双轮驱动，产品出口亚欧美非，打开第二增长曲线。</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（一）客户集中与集采依赖风险：收入高度依赖国网、南网及能源央企集采中标，若招标政策或入围资格变动，将直接影响订单。应对措施：拓展南方电网及更多省级公司入围，分散单一客户风险。</w:t>
      </w:r>
    </w:p>
    <w:p>
      <w:pPr>
        <w:spacing w:lineRule="exact" w:line="600" w:before="0" w:after="0"/>
        <w:ind w:firstLine="420"/>
        <w:jc w:val="both"/>
      </w:pPr>
      <w:r>
        <w:rPr>
          <w:rFonts w:ascii="仿宋_GB2312" w:hAnsi="仿宋_GB2312" w:eastAsia="仿宋_GB2312"/>
          <w:b w:val="0"/>
          <w:color w:val="000000"/>
          <w:sz w:val="32"/>
        </w:rPr>
        <w:t>（二）原材料价格波动风险：铜、铝等金属占成本比重高，价格波动侵蚀毛利。应对措施：通过锁价采购、工艺优化降低单耗。</w:t>
      </w:r>
    </w:p>
    <w:p>
      <w:pPr>
        <w:spacing w:lineRule="exact" w:line="600" w:before="0" w:after="0"/>
        <w:ind w:firstLine="420"/>
        <w:jc w:val="both"/>
      </w:pPr>
      <w:r>
        <w:rPr>
          <w:rFonts w:ascii="仿宋_GB2312" w:hAnsi="仿宋_GB2312" w:eastAsia="仿宋_GB2312"/>
          <w:b w:val="0"/>
          <w:color w:val="000000"/>
          <w:sz w:val="32"/>
        </w:rPr>
        <w:t>（三）民营实控集中风险：刘清华一人持股80%并兼任执行董事总经理，治理集中度过高，存在关键人风险。应对措施：完善监事监督与财务内控，逐步引入职业经理人。</w:t>
      </w:r>
    </w:p>
    <w:p>
      <w:pPr>
        <w:spacing w:lineRule="exact" w:line="600" w:before="0" w:after="0"/>
        <w:ind w:firstLine="420"/>
        <w:jc w:val="both"/>
      </w:pPr>
      <w:r>
        <w:rPr>
          <w:rFonts w:ascii="仿宋_GB2312" w:hAnsi="仿宋_GB2312" w:eastAsia="仿宋_GB2312"/>
          <w:b w:val="0"/>
          <w:color w:val="000000"/>
          <w:sz w:val="32"/>
        </w:rPr>
        <w:t>（四）规模与人才风险：参保人数少、研发与管理人员精干，扩张期面临人才瓶颈。应对措施：深化与山东航空学院产学研合作，引育高端人才。</w:t>
      </w:r>
    </w:p>
    <w:p>
      <w:pPr>
        <w:spacing w:lineRule="exact" w:line="600" w:before="0" w:after="0"/>
        <w:ind w:firstLine="420"/>
        <w:jc w:val="both"/>
      </w:pPr>
      <w:r>
        <w:rPr>
          <w:rFonts w:ascii="仿宋_GB2312" w:hAnsi="仿宋_GB2312" w:eastAsia="仿宋_GB2312"/>
          <w:b w:val="0"/>
          <w:color w:val="000000"/>
          <w:sz w:val="32"/>
        </w:rPr>
        <w:t>（五）国际贸易风险：出口业务受汇率、贸易壁垒影响。应对措施：通过跨境电商本地化运营、多区域市场分散风险。</w:t>
      </w:r>
    </w:p>
    <w:p>
      <w:pPr>
        <w:spacing w:lineRule="exact" w:line="600" w:before="0" w:after="0"/>
        <w:ind w:firstLine="420"/>
        <w:jc w:val="both"/>
      </w:pPr>
      <w:r>
        <w:rPr>
          <w:rFonts w:ascii="仿宋_GB2312" w:hAnsi="仿宋_GB2312" w:eastAsia="仿宋_GB2312"/>
          <w:b w:val="0"/>
          <w:color w:val="000000"/>
          <w:sz w:val="32"/>
        </w:rPr>
        <w:t>（六）合规风险：作为电力装备供应商，产品质量与强制性认证（如CCC、生产许可）合规要求高；公开渠道未见行政处罚与自身风险记录（天眼查显示自身风险0），但需持续关注招标履约与产品质量责任。</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（一）保理业务：公司对国家电网、南方电网及能源央企的应收账款账期较长、信用等级高，适合开展无追索权保理，盘活营运资金，建议山东投资旗下保理公司对接。</w:t>
      </w:r>
    </w:p>
    <w:p>
      <w:pPr>
        <w:spacing w:lineRule="exact" w:line="600" w:before="0" w:after="0"/>
        <w:ind w:firstLine="420"/>
        <w:jc w:val="both"/>
      </w:pPr>
      <w:r>
        <w:rPr>
          <w:rFonts w:ascii="仿宋_GB2312" w:hAnsi="仿宋_GB2312" w:eastAsia="仿宋_GB2312"/>
          <w:b w:val="0"/>
          <w:color w:val="000000"/>
          <w:sz w:val="32"/>
        </w:rPr>
        <w:t>（二）供应链金融：上游铜铝材料及元器件采购占用资金大，可围绕核心客户确权开展反向供应链金融，缓解备货资金压力。</w:t>
      </w:r>
    </w:p>
    <w:p>
      <w:pPr>
        <w:spacing w:lineRule="exact" w:line="600" w:before="0" w:after="0"/>
        <w:ind w:firstLine="420"/>
        <w:jc w:val="both"/>
      </w:pPr>
      <w:r>
        <w:rPr>
          <w:rFonts w:ascii="仿宋_GB2312" w:hAnsi="仿宋_GB2312" w:eastAsia="仿宋_GB2312"/>
          <w:b w:val="0"/>
          <w:color w:val="000000"/>
          <w:sz w:val="32"/>
        </w:rPr>
        <w:t>（三）融资租赁：2024年智能制造一体化项目及后续自动化设备升级存在资本开支需求，适合以设备融资租赁方式平滑现金流。</w:t>
      </w:r>
    </w:p>
    <w:p>
      <w:pPr>
        <w:spacing w:lineRule="exact" w:line="600" w:before="0" w:after="0"/>
        <w:ind w:firstLine="420"/>
        <w:jc w:val="both"/>
      </w:pPr>
      <w:r>
        <w:rPr>
          <w:rFonts w:ascii="仿宋_GB2312" w:hAnsi="仿宋_GB2312" w:eastAsia="仿宋_GB2312"/>
          <w:b w:val="0"/>
          <w:color w:val="000000"/>
          <w:sz w:val="32"/>
        </w:rPr>
        <w:t>（四）小额贷款：针对投标保证金、履约保证金等阶段性周转，可经由小贷业务提供短期流动性支持。整体看，公司成长性好、客户资质优，是山东投资在智能电力装备赛道较为理想的产融协同标的，但须以补充财务尽职调查为前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小结：山东欧创电气有限公司是无棣县智能电力装备产业集群的核心企业，技术资质齐全（高企+专精特新）、客户结构优质（国网南网及能源央企）、成长性良好（连续三年复合增长20%以上），并积极推进智能制造与国际化布局，细分领域竞争力突出。</w:t>
      </w:r>
    </w:p>
    <w:p>
      <w:pPr>
        <w:spacing w:lineRule="exact" w:line="600" w:before="0" w:after="0"/>
        <w:ind w:firstLine="420"/>
        <w:jc w:val="both"/>
      </w:pPr>
      <w:r>
        <w:rPr>
          <w:rFonts w:ascii="仿宋_GB2312" w:hAnsi="仿宋_GB2312" w:eastAsia="仿宋_GB2312"/>
          <w:b w:val="0"/>
          <w:color w:val="000000"/>
          <w:sz w:val="32"/>
        </w:rPr>
        <w:t>未来发展展望：在"新型电力系统"建设与国家电网、南方电网投资加码背景下，智能配电设备需求旺盛；公司依托标准制定、研发共建与出海战略，有望由区域配套商迈向全国性标杆企业。</w:t>
      </w:r>
    </w:p>
    <w:p>
      <w:pPr>
        <w:spacing w:lineRule="exact" w:line="600" w:before="0" w:after="0"/>
        <w:ind w:firstLine="420"/>
        <w:jc w:val="both"/>
      </w:pPr>
      <w:r>
        <w:rPr>
          <w:rFonts w:ascii="仿宋_GB2312" w:hAnsi="仿宋_GB2312" w:eastAsia="仿宋_GB2312"/>
          <w:b w:val="0"/>
          <w:color w:val="000000"/>
          <w:sz w:val="32"/>
        </w:rPr>
        <w:t>面临挑战：企业规模偏小、财务透明度低、关键人集中、人才储备不足，扩张期资金与治理是主要约束。</w:t>
      </w:r>
    </w:p>
    <w:p>
      <w:pPr>
        <w:spacing w:lineRule="exact" w:line="600" w:before="0" w:after="0"/>
        <w:ind w:firstLine="420"/>
        <w:jc w:val="both"/>
      </w:pPr>
      <w:r>
        <w:rPr>
          <w:rFonts w:ascii="仿宋_GB2312" w:hAnsi="仿宋_GB2312" w:eastAsia="仿宋_GB2312"/>
          <w:b w:val="0"/>
          <w:color w:val="000000"/>
          <w:sz w:val="32"/>
        </w:rPr>
        <w:t>结论与建议：建议山东投资在补充财务尽调与风控前提下，优先以保理、供应链金融切入，择机提供设备融资租赁；并推动其与集群内国棣电力、卓力电器协同，形成智能电气装备"抱团"出海与集采议价合力。</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1. 天眼查、企查查、爱企查：山东欧创电气有限公司工商登记、股权结构（刘清华80%/郭秀清20%）、实缴资本、专利与行政许可、参保人数等基础信息。</w:t>
      </w:r>
    </w:p>
    <w:p>
      <w:pPr>
        <w:spacing w:lineRule="exact" w:line="600" w:before="0" w:after="0"/>
        <w:ind w:firstLine="420"/>
        <w:jc w:val="both"/>
      </w:pPr>
      <w:r>
        <w:rPr>
          <w:rFonts w:ascii="仿宋_GB2312" w:hAnsi="仿宋_GB2312" w:eastAsia="仿宋_GB2312"/>
          <w:b w:val="0"/>
          <w:color w:val="000000"/>
          <w:sz w:val="32"/>
        </w:rPr>
        <w:t>2. 滨州日报/滨州网：2025年9月2日、2025年10月9日关于滨州"5210N"产业集群记者见面会及欧创电气成为我国智能电力设备领域核心企业的报道。</w:t>
      </w:r>
    </w:p>
    <w:p>
      <w:pPr>
        <w:spacing w:lineRule="exact" w:line="600" w:before="0" w:after="0"/>
        <w:ind w:firstLine="420"/>
        <w:jc w:val="both"/>
      </w:pPr>
      <w:r>
        <w:rPr>
          <w:rFonts w:ascii="仿宋_GB2312" w:hAnsi="仿宋_GB2312" w:eastAsia="仿宋_GB2312"/>
          <w:b w:val="0"/>
          <w:color w:val="000000"/>
          <w:sz w:val="32"/>
        </w:rPr>
        <w:t>3. 大众新闻（2025年）：山东欧创电气有限公司国际订单、高新技术企业赶工生产的报道。</w:t>
      </w:r>
    </w:p>
    <w:p>
      <w:pPr>
        <w:spacing w:lineRule="exact" w:line="600" w:before="0" w:after="0"/>
        <w:ind w:firstLine="420"/>
        <w:jc w:val="both"/>
      </w:pPr>
      <w:r>
        <w:rPr>
          <w:rFonts w:ascii="仿宋_GB2312" w:hAnsi="仿宋_GB2312" w:eastAsia="仿宋_GB2312"/>
          <w:b w:val="0"/>
          <w:color w:val="000000"/>
          <w:sz w:val="32"/>
        </w:rPr>
        <w:t>4. 公司公开宣传资料及行业公开信息（经营范围、产品、研发平台等）。财务数据因非上市未披露，相关章节均如实标注。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