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山东潍坊昌乐（黄金珠宝）特色产业集群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山东梦金园珠宝首饰有限公司企业分析报告</w:t>
      </w:r>
    </w:p>
    <w:p>
      <w:pPr>
        <w:spacing w:lineRule="exact" w:line="600" w:before="0" w:after="0"/>
        <w:jc w:val="left"/>
      </w:pPr>
      <w:r>
        <w:rPr>
          <w:rFonts w:ascii="仿宋_GB2312" w:hAnsi="仿宋_GB2312" w:eastAsia="仿宋_GB2312"/>
          <w:b w:val="0"/>
          <w:color w:val="000000"/>
          <w:sz w:val="28"/>
        </w:rPr>
        <w:t>（本报告数据来源于香港交易所披露易（HKEXnews）、梦金园黄金珠宝集团股份有限公司（02585.HK）年度报告及业绩预告、天眼查/企查查公开数据及公司官网。山东梦金园珠宝首饰有限公司为梦金园黄金珠宝集团股份有限公司（香港联交所主板上市，代码02585.HK）的核心运营主体/主要境内经营实体，本次财务分析采用集团合并口径数据（集团以山东梦金园为主要经营载体），统计时点为2023、2024、2025年度报告。数据真实可查，未编造。）</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山东梦金园珠宝首饰有限公司是昌乐黄金珠宝特色产业集群的龙头企业，注册地位于山东省潍坊市昌乐县经济开发区，长期从事黄金珠宝首饰的设计、加工与销售，掌握“无焊料焊接”核心技术，产品可达Au9999高纯度。其对应的上市主体为梦金园黄金珠宝集团股份有限公司（MOKINGRAN JEWELLERY GROUP CO., LTD.，股票代码02585.HK），于香港联交所主板上市。集团以山东梦金园珠宝首饰有限公司为主要境内经营载体，形成“研发设计—生产加工—品牌零售—批发经销”一体化业务体系。</w:t>
      </w:r>
    </w:p>
    <w:p>
      <w:pPr>
        <w:spacing w:lineRule="exact" w:line="600" w:before="0" w:after="0"/>
        <w:ind w:firstLine="420"/>
        <w:jc w:val="both"/>
      </w:pPr>
      <w:r>
        <w:rPr>
          <w:rFonts w:ascii="仿宋_GB2312" w:hAnsi="仿宋_GB2312" w:eastAsia="仿宋_GB2312"/>
          <w:b w:val="0"/>
          <w:color w:val="000000"/>
          <w:sz w:val="32"/>
        </w:rPr>
        <w:t>股权与实控人：梦金园黄金珠宝集团为民营控股的港交所上市公司，创始人为王忠善（董事长兼执行董事），其与张秀琴、王国鑫、王泽刚等家族成员为一致行动人，构成实际控制人及最终受益所有人。山东梦金园珠宝首饰有限公司为集团核心子公司，由集团全资/控股持有（以工商登记为准）。</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集团采用“总部+基地+终端”架构：山东昌乐基地承担研发与加工制造，深圳等地设运营与营销中心，终端以品牌经销商加盟与自营门店结合。集团下设多家境内外子公司，覆盖珠宝设计、生产、批发、零售及海外业务。山东梦金园珠宝首饰有限公司处于集团制造与供应链核心环节。</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关键节点：公司深耕黄金珠宝加工多年，2010年代形成“无焊料焊接”技术体系（Au9999）；经历A股IPO未果后转战港股，于香港联交所主板上市（02585.HK）；上市后推进海外布局，海外收入快速增长（2025年海外收入同比增119%—167%）；2025年因黄金价格大幅上涨导致Au(T+D)合约及黄金租赁产生较大浮亏，发布盈利警告。</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定位为“黄金珠宝设计加工与品牌运营一体化企业”，主营业务为黄金珠宝首饰（金饰、金条等）的设计、研发、制造、批发与零售，核心产品为采用无焊料焊接技术的高纯度黄金首饰，是昌乐黄金珠宝集群的设计加工与品牌龙头。</w:t>
      </w:r>
    </w:p>
    <w:p>
      <w:pPr>
        <w:spacing w:lineRule="exact" w:line="600" w:before="120" w:after="120"/>
        <w:ind w:firstLine="420"/>
        <w:jc w:val="left"/>
      </w:pPr>
      <w:r>
        <w:rPr>
          <w:rFonts w:ascii="黑体" w:hAnsi="黑体" w:eastAsia="黑体"/>
          <w:b w:val="0"/>
          <w:color w:val="000000"/>
          <w:sz w:val="32"/>
        </w:rPr>
        <w:t>二、业务层面分析（核心）</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集团收入几乎全部来自黄金珠宝产品销售（以黄金首饰及金条为主）。2025年营业收入约207.10亿元，其中海外收入约3.07—3.74亿元（同比增119%—167%），境内仍为主力市场。收入结构以批发经销与品牌零售并重，黄金品类占绝对主导。</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主要产品为黄金珠宝首饰，包括足金/万足金（Au9999）项链、手镯、戒指、吊坠等饰品及投资金条；核心技术为“无焊料焊接”工艺，避免传统焊接对纯度的稀释，提升产品成色与品质。</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下游客户包括品牌经销商（加盟商）、自营门店消费者及批发客户。集团已建立以深圳、武汉、西安、成都、长沙、兰州、济南、沈阳等城市为中心、辐射周边的营销网络（据公开信息拥有千余家品牌经销商），客户覆盖面广。</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主要采购为黄金原料（金料），采购成本受国际金价影响显著。公司采用“金价+加工费”定价模式，并通过上海黄金交易所Au(T+D)合约及黄金租赁管理价格风险（亦因此产生对冲损益波动）。</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公司在昌乐建有黄金珠宝加工基地，年加工黄金能力超百吨（据集群公开报道）；具备黄金珠宝加工相关资质，持有“梦金园”等品牌商标，为山东省及全国黄金珠宝加工重点企业。</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销售以“品牌加盟经销+自营零售+批发”为主，依托千余家经销商网络下沉市场，并积极拓展海外（东南亚等）市场，海外收入2025年大幅增长。</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集团2023年营收202.09亿元、2024年197.13亿元、2025年207.10亿元，处于行业头部规模（以黄金珠宝加工零售企业营收计）。凭借无焊料焊接技术与千余家经销商网络，在北方黄金珠宝市场占据重要地位；具体市占率无公开权威数据。</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tbl>
      <w:tblPr>
        <w:tblStyle w:val="TableGrid"/>
        <w:tblW w:type="auto" w:w="0"/>
        <w:jc w:val="center"/>
        <w:tblLook w:firstColumn="1" w:firstRow="1" w:lastColumn="0" w:lastRow="0" w:noHBand="0" w:noVBand="1" w:val="04A0"/>
      </w:tblPr>
      <w:tblGrid>
        <w:gridCol w:w="2211"/>
        <w:gridCol w:w="2211"/>
        <w:gridCol w:w="2211"/>
        <w:gridCol w:w="2211"/>
      </w:tblGrid>
      <w:tr>
        <w:tc>
          <w:tcPr>
            <w:tcW w:type="dxa" w:w="3685"/>
          </w:tcPr>
          <w:p>
            <w:pPr>
              <w:spacing w:lineRule="exact" w:line="600"/>
              <w:jc w:val="center"/>
            </w:pPr>
            <w:r/>
            <w:r>
              <w:rPr>
                <w:rFonts w:ascii="黑体" w:hAnsi="黑体" w:eastAsia="黑体"/>
                <w:b/>
                <w:color w:val="000000"/>
                <w:sz w:val="32"/>
              </w:rPr>
              <w:t>指标（集团合并口径）</w:t>
            </w:r>
          </w:p>
        </w:tc>
        <w:tc>
          <w:tcPr>
            <w:tcW w:type="dxa" w:w="1814"/>
          </w:tcPr>
          <w:p>
            <w:pPr>
              <w:spacing w:lineRule="exact" w:line="600"/>
              <w:jc w:val="center"/>
            </w:pPr>
            <w:r/>
            <w:r>
              <w:rPr>
                <w:rFonts w:ascii="黑体" w:hAnsi="黑体" w:eastAsia="黑体"/>
                <w:b/>
                <w:color w:val="000000"/>
                <w:sz w:val="32"/>
              </w:rPr>
              <w:t>2023年</w:t>
            </w:r>
          </w:p>
        </w:tc>
        <w:tc>
          <w:tcPr>
            <w:tcW w:type="dxa" w:w="1814"/>
          </w:tcPr>
          <w:p>
            <w:pPr>
              <w:spacing w:lineRule="exact" w:line="600"/>
              <w:jc w:val="center"/>
            </w:pPr>
            <w:r/>
            <w:r>
              <w:rPr>
                <w:rFonts w:ascii="黑体" w:hAnsi="黑体" w:eastAsia="黑体"/>
                <w:b/>
                <w:color w:val="000000"/>
                <w:sz w:val="32"/>
              </w:rPr>
              <w:t>2024年</w:t>
            </w:r>
          </w:p>
        </w:tc>
        <w:tc>
          <w:tcPr>
            <w:tcW w:type="dxa" w:w="1814"/>
          </w:tcPr>
          <w:p>
            <w:pPr>
              <w:spacing w:lineRule="exact" w:line="600"/>
              <w:jc w:val="center"/>
            </w:pPr>
            <w:r/>
            <w:r>
              <w:rPr>
                <w:rFonts w:ascii="黑体" w:hAnsi="黑体" w:eastAsia="黑体"/>
                <w:b/>
                <w:color w:val="000000"/>
                <w:sz w:val="32"/>
              </w:rPr>
              <w:t>2025年</w:t>
            </w:r>
          </w:p>
        </w:tc>
      </w:tr>
      <w:tr>
        <w:tc>
          <w:tcPr>
            <w:tcW w:type="dxa" w:w="3685"/>
          </w:tcPr>
          <w:p>
            <w:pPr>
              <w:spacing w:lineRule="exact" w:line="600"/>
              <w:jc w:val="center"/>
            </w:pPr>
            <w:r/>
            <w:r>
              <w:rPr>
                <w:rFonts w:ascii="仿宋_GB2312" w:hAnsi="仿宋_GB2312" w:eastAsia="仿宋_GB2312"/>
                <w:b w:val="0"/>
                <w:color w:val="000000"/>
                <w:sz w:val="32"/>
              </w:rPr>
              <w:t>营业收入（亿元）</w:t>
            </w:r>
          </w:p>
        </w:tc>
        <w:tc>
          <w:tcPr>
            <w:tcW w:type="dxa" w:w="1814"/>
          </w:tcPr>
          <w:p>
            <w:pPr>
              <w:spacing w:lineRule="exact" w:line="600"/>
              <w:jc w:val="center"/>
            </w:pPr>
            <w:r/>
            <w:r>
              <w:rPr>
                <w:rFonts w:ascii="仿宋_GB2312" w:hAnsi="仿宋_GB2312" w:eastAsia="仿宋_GB2312"/>
                <w:b w:val="0"/>
                <w:color w:val="000000"/>
                <w:sz w:val="32"/>
              </w:rPr>
              <w:t>202.09</w:t>
            </w:r>
          </w:p>
        </w:tc>
        <w:tc>
          <w:tcPr>
            <w:tcW w:type="dxa" w:w="1814"/>
          </w:tcPr>
          <w:p>
            <w:pPr>
              <w:spacing w:lineRule="exact" w:line="600"/>
              <w:jc w:val="center"/>
            </w:pPr>
            <w:r/>
            <w:r>
              <w:rPr>
                <w:rFonts w:ascii="仿宋_GB2312" w:hAnsi="仿宋_GB2312" w:eastAsia="仿宋_GB2312"/>
                <w:b w:val="0"/>
                <w:color w:val="000000"/>
                <w:sz w:val="32"/>
              </w:rPr>
              <w:t>197.13</w:t>
            </w:r>
          </w:p>
        </w:tc>
        <w:tc>
          <w:tcPr>
            <w:tcW w:type="dxa" w:w="1814"/>
          </w:tcPr>
          <w:p>
            <w:pPr>
              <w:spacing w:lineRule="exact" w:line="600"/>
              <w:jc w:val="center"/>
            </w:pPr>
            <w:r/>
            <w:r>
              <w:rPr>
                <w:rFonts w:ascii="仿宋_GB2312" w:hAnsi="仿宋_GB2312" w:eastAsia="仿宋_GB2312"/>
                <w:b w:val="0"/>
                <w:color w:val="000000"/>
                <w:sz w:val="32"/>
              </w:rPr>
              <w:t>207.10</w:t>
            </w:r>
          </w:p>
        </w:tc>
      </w:tr>
      <w:tr>
        <w:tc>
          <w:tcPr>
            <w:tcW w:type="dxa" w:w="3685"/>
          </w:tcPr>
          <w:p>
            <w:pPr>
              <w:spacing w:lineRule="exact" w:line="600"/>
              <w:jc w:val="center"/>
            </w:pPr>
            <w:r/>
            <w:r>
              <w:rPr>
                <w:rFonts w:ascii="仿宋_GB2312" w:hAnsi="仿宋_GB2312" w:eastAsia="仿宋_GB2312"/>
                <w:b w:val="0"/>
                <w:color w:val="000000"/>
                <w:sz w:val="32"/>
              </w:rPr>
              <w:t>归母净利润（亿元）</w:t>
            </w:r>
          </w:p>
        </w:tc>
        <w:tc>
          <w:tcPr>
            <w:tcW w:type="dxa" w:w="1814"/>
          </w:tcPr>
          <w:p>
            <w:pPr>
              <w:spacing w:lineRule="exact" w:line="600"/>
              <w:jc w:val="center"/>
            </w:pPr>
            <w:r/>
            <w:r>
              <w:rPr>
                <w:rFonts w:ascii="仿宋_GB2312" w:hAnsi="仿宋_GB2312" w:eastAsia="仿宋_GB2312"/>
                <w:b w:val="0"/>
                <w:color w:val="000000"/>
                <w:sz w:val="32"/>
              </w:rPr>
              <w:t>2.30</w:t>
            </w:r>
          </w:p>
        </w:tc>
        <w:tc>
          <w:tcPr>
            <w:tcW w:type="dxa" w:w="1814"/>
          </w:tcPr>
          <w:p>
            <w:pPr>
              <w:spacing w:lineRule="exact" w:line="600"/>
              <w:jc w:val="center"/>
            </w:pPr>
            <w:r/>
            <w:r>
              <w:rPr>
                <w:rFonts w:ascii="仿宋_GB2312" w:hAnsi="仿宋_GB2312" w:eastAsia="仿宋_GB2312"/>
                <w:b w:val="0"/>
                <w:color w:val="000000"/>
                <w:sz w:val="32"/>
              </w:rPr>
              <w:t>1.89</w:t>
            </w:r>
          </w:p>
        </w:tc>
        <w:tc>
          <w:tcPr>
            <w:tcW w:type="dxa" w:w="1814"/>
          </w:tcPr>
          <w:p>
            <w:pPr>
              <w:spacing w:lineRule="exact" w:line="600"/>
              <w:jc w:val="center"/>
            </w:pPr>
            <w:r/>
            <w:r>
              <w:rPr>
                <w:rFonts w:ascii="仿宋_GB2312" w:hAnsi="仿宋_GB2312" w:eastAsia="仿宋_GB2312"/>
                <w:b w:val="0"/>
                <w:color w:val="000000"/>
                <w:sz w:val="32"/>
              </w:rPr>
              <w:t>0.97</w:t>
            </w:r>
          </w:p>
        </w:tc>
      </w:tr>
      <w:tr>
        <w:tc>
          <w:tcPr>
            <w:tcW w:type="dxa" w:w="3685"/>
          </w:tcPr>
          <w:p>
            <w:pPr>
              <w:spacing w:lineRule="exact" w:line="600"/>
              <w:jc w:val="center"/>
            </w:pPr>
            <w:r/>
            <w:r>
              <w:rPr>
                <w:rFonts w:ascii="仿宋_GB2312" w:hAnsi="仿宋_GB2312" w:eastAsia="仿宋_GB2312"/>
                <w:b w:val="0"/>
                <w:color w:val="000000"/>
                <w:sz w:val="32"/>
              </w:rPr>
              <w:t>销售毛利率（%）</w:t>
            </w:r>
          </w:p>
        </w:tc>
        <w:tc>
          <w:tcPr>
            <w:tcW w:type="dxa" w:w="1814"/>
          </w:tcPr>
          <w:p>
            <w:pPr>
              <w:spacing w:lineRule="exact" w:line="600"/>
              <w:jc w:val="center"/>
            </w:pPr>
            <w:r/>
            <w:r>
              <w:rPr>
                <w:rFonts w:ascii="仿宋_GB2312" w:hAnsi="仿宋_GB2312" w:eastAsia="仿宋_GB2312"/>
                <w:b w:val="0"/>
                <w:color w:val="000000"/>
                <w:sz w:val="32"/>
              </w:rPr>
              <w:t>5.33</w:t>
            </w:r>
          </w:p>
        </w:tc>
        <w:tc>
          <w:tcPr>
            <w:tcW w:type="dxa" w:w="1814"/>
          </w:tcPr>
          <w:p>
            <w:pPr>
              <w:spacing w:lineRule="exact" w:line="600"/>
              <w:jc w:val="center"/>
            </w:pPr>
            <w:r/>
            <w:r>
              <w:rPr>
                <w:rFonts w:ascii="仿宋_GB2312" w:hAnsi="仿宋_GB2312" w:eastAsia="仿宋_GB2312"/>
                <w:b w:val="0"/>
                <w:color w:val="000000"/>
                <w:sz w:val="32"/>
              </w:rPr>
              <w:t>6.75</w:t>
            </w:r>
          </w:p>
        </w:tc>
        <w:tc>
          <w:tcPr>
            <w:tcW w:type="dxa" w:w="1814"/>
          </w:tcPr>
          <w:p>
            <w:pPr>
              <w:spacing w:lineRule="exact" w:line="600"/>
              <w:jc w:val="center"/>
            </w:pPr>
            <w:r/>
            <w:r>
              <w:rPr>
                <w:rFonts w:ascii="仿宋_GB2312" w:hAnsi="仿宋_GB2312" w:eastAsia="仿宋_GB2312"/>
                <w:b w:val="0"/>
                <w:color w:val="000000"/>
                <w:sz w:val="32"/>
              </w:rPr>
              <w:t>7.62</w:t>
            </w:r>
          </w:p>
        </w:tc>
      </w:tr>
      <w:tr>
        <w:tc>
          <w:tcPr>
            <w:tcW w:type="dxa" w:w="3685"/>
          </w:tcPr>
          <w:p>
            <w:pPr>
              <w:spacing w:lineRule="exact" w:line="600"/>
              <w:jc w:val="center"/>
            </w:pPr>
            <w:r/>
            <w:r>
              <w:rPr>
                <w:rFonts w:ascii="仿宋_GB2312" w:hAnsi="仿宋_GB2312" w:eastAsia="仿宋_GB2312"/>
                <w:b w:val="0"/>
                <w:color w:val="000000"/>
                <w:sz w:val="32"/>
              </w:rPr>
              <w:t>资产负债率（%）</w:t>
            </w:r>
          </w:p>
        </w:tc>
        <w:tc>
          <w:tcPr>
            <w:tcW w:type="dxa" w:w="1814"/>
          </w:tcPr>
          <w:p>
            <w:pPr>
              <w:spacing w:lineRule="exact" w:line="600"/>
              <w:jc w:val="center"/>
            </w:pPr>
            <w:r/>
            <w:r>
              <w:rPr>
                <w:rFonts w:ascii="仿宋_GB2312" w:hAnsi="仿宋_GB2312" w:eastAsia="仿宋_GB2312"/>
                <w:b w:val="0"/>
                <w:color w:val="000000"/>
                <w:sz w:val="32"/>
              </w:rPr>
              <w:t>52.18</w:t>
            </w:r>
          </w:p>
        </w:tc>
        <w:tc>
          <w:tcPr>
            <w:tcW w:type="dxa" w:w="1814"/>
          </w:tcPr>
          <w:p>
            <w:pPr>
              <w:spacing w:lineRule="exact" w:line="600"/>
              <w:jc w:val="center"/>
            </w:pPr>
            <w:r/>
            <w:r>
              <w:rPr>
                <w:rFonts w:ascii="仿宋_GB2312" w:hAnsi="仿宋_GB2312" w:eastAsia="仿宋_GB2312"/>
                <w:b w:val="0"/>
                <w:color w:val="000000"/>
                <w:sz w:val="32"/>
              </w:rPr>
              <w:t>49.79</w:t>
            </w:r>
          </w:p>
        </w:tc>
        <w:tc>
          <w:tcPr>
            <w:tcW w:type="dxa" w:w="1814"/>
          </w:tcPr>
          <w:p>
            <w:pPr>
              <w:spacing w:lineRule="exact" w:line="600"/>
              <w:jc w:val="center"/>
            </w:pPr>
            <w:r/>
            <w:r>
              <w:rPr>
                <w:rFonts w:ascii="仿宋_GB2312" w:hAnsi="仿宋_GB2312" w:eastAsia="仿宋_GB2312"/>
                <w:b w:val="0"/>
                <w:color w:val="000000"/>
                <w:sz w:val="32"/>
              </w:rPr>
              <w:t>52.17</w:t>
            </w:r>
          </w:p>
        </w:tc>
      </w:tr>
      <w:tr>
        <w:tc>
          <w:tcPr>
            <w:tcW w:type="dxa" w:w="3685"/>
          </w:tcPr>
          <w:p>
            <w:pPr>
              <w:spacing w:lineRule="exact" w:line="600"/>
              <w:jc w:val="center"/>
            </w:pPr>
            <w:r/>
            <w:r>
              <w:rPr>
                <w:rFonts w:ascii="仿宋_GB2312" w:hAnsi="仿宋_GB2312" w:eastAsia="仿宋_GB2312"/>
                <w:b w:val="0"/>
                <w:color w:val="000000"/>
                <w:sz w:val="32"/>
              </w:rPr>
              <w:t>经营现金流净额（亿元）</w:t>
            </w:r>
          </w:p>
        </w:tc>
        <w:tc>
          <w:tcPr>
            <w:tcW w:type="dxa" w:w="1814"/>
          </w:tcPr>
          <w:p>
            <w:pPr>
              <w:spacing w:lineRule="exact" w:line="600"/>
              <w:jc w:val="center"/>
            </w:pPr>
            <w:r/>
            <w:r>
              <w:rPr>
                <w:rFonts w:ascii="仿宋_GB2312" w:hAnsi="仿宋_GB2312" w:eastAsia="仿宋_GB2312"/>
                <w:b w:val="0"/>
                <w:color w:val="000000"/>
                <w:sz w:val="32"/>
              </w:rPr>
              <w:t>约7.6</w:t>
            </w:r>
          </w:p>
        </w:tc>
        <w:tc>
          <w:tcPr>
            <w:tcW w:type="dxa" w:w="1814"/>
          </w:tcPr>
          <w:p>
            <w:pPr>
              <w:spacing w:lineRule="exact" w:line="600"/>
              <w:jc w:val="center"/>
            </w:pPr>
            <w:r/>
            <w:r>
              <w:rPr>
                <w:rFonts w:ascii="仿宋_GB2312" w:hAnsi="仿宋_GB2312" w:eastAsia="仿宋_GB2312"/>
                <w:b w:val="0"/>
                <w:color w:val="000000"/>
                <w:sz w:val="32"/>
              </w:rPr>
              <w:t>-3.54</w:t>
            </w:r>
          </w:p>
        </w:tc>
        <w:tc>
          <w:tcPr>
            <w:tcW w:type="dxa" w:w="1814"/>
          </w:tcPr>
          <w:p>
            <w:pPr>
              <w:spacing w:lineRule="exact" w:line="600"/>
              <w:jc w:val="center"/>
            </w:pPr>
            <w:r/>
            <w:r>
              <w:rPr>
                <w:rFonts w:ascii="仿宋_GB2312" w:hAnsi="仿宋_GB2312" w:eastAsia="仿宋_GB2312"/>
                <w:b w:val="0"/>
                <w:color w:val="000000"/>
                <w:sz w:val="32"/>
              </w:rPr>
              <w:t>0.76</w:t>
            </w:r>
          </w:p>
        </w:tc>
      </w:tr>
      <w:tr>
        <w:tc>
          <w:tcPr>
            <w:tcW w:type="dxa" w:w="3685"/>
          </w:tcPr>
          <w:p>
            <w:pPr>
              <w:spacing w:lineRule="exact" w:line="600"/>
              <w:jc w:val="center"/>
            </w:pPr>
            <w:r/>
            <w:r>
              <w:rPr>
                <w:rFonts w:ascii="仿宋_GB2312" w:hAnsi="仿宋_GB2312" w:eastAsia="仿宋_GB2312"/>
                <w:b w:val="0"/>
                <w:color w:val="000000"/>
                <w:sz w:val="32"/>
              </w:rPr>
              <w:t>基本每股收益（元）</w:t>
            </w:r>
          </w:p>
        </w:tc>
        <w:tc>
          <w:tcPr>
            <w:tcW w:type="dxa" w:w="1814"/>
          </w:tcPr>
          <w:p>
            <w:pPr>
              <w:spacing w:lineRule="exact" w:line="600"/>
              <w:jc w:val="center"/>
            </w:pPr>
            <w:r/>
            <w:r>
              <w:rPr>
                <w:rFonts w:ascii="仿宋_GB2312" w:hAnsi="仿宋_GB2312" w:eastAsia="仿宋_GB2312"/>
                <w:b w:val="0"/>
                <w:color w:val="000000"/>
                <w:sz w:val="32"/>
              </w:rPr>
              <w:t>1.01</w:t>
            </w:r>
          </w:p>
        </w:tc>
        <w:tc>
          <w:tcPr>
            <w:tcW w:type="dxa" w:w="1814"/>
          </w:tcPr>
          <w:p>
            <w:pPr>
              <w:spacing w:lineRule="exact" w:line="600"/>
              <w:jc w:val="center"/>
            </w:pPr>
            <w:r/>
            <w:r>
              <w:rPr>
                <w:rFonts w:ascii="仿宋_GB2312" w:hAnsi="仿宋_GB2312" w:eastAsia="仿宋_GB2312"/>
                <w:b w:val="0"/>
                <w:color w:val="000000"/>
                <w:sz w:val="32"/>
              </w:rPr>
              <w:t>0.81</w:t>
            </w:r>
          </w:p>
        </w:tc>
        <w:tc>
          <w:tcPr>
            <w:tcW w:type="dxa" w:w="1814"/>
          </w:tcPr>
          <w:p>
            <w:pPr>
              <w:spacing w:lineRule="exact" w:line="600"/>
              <w:jc w:val="center"/>
            </w:pPr>
            <w:r/>
            <w:r>
              <w:rPr>
                <w:rFonts w:ascii="仿宋_GB2312" w:hAnsi="仿宋_GB2312" w:eastAsia="仿宋_GB2312"/>
                <w:b w:val="0"/>
                <w:color w:val="000000"/>
                <w:sz w:val="32"/>
              </w:rPr>
              <w:t>0.36</w:t>
            </w:r>
          </w:p>
        </w:tc>
      </w:tr>
    </w:tbl>
    <w:p>
      <w:pPr>
        <w:spacing w:lineRule="exact" w:line="600" w:before="0" w:after="0"/>
        <w:jc w:val="left"/>
      </w:pPr>
      <w:r>
        <w:rPr>
          <w:rFonts w:ascii="仿宋_GB2312" w:hAnsi="仿宋_GB2312" w:eastAsia="仿宋_GB2312"/>
          <w:b w:val="0"/>
          <w:color w:val="000000"/>
          <w:sz w:val="28"/>
        </w:rPr>
        <w:t>注：上表为梦金园黄金珠宝集团股份有限公司（02585.HK）合并口径数据，来源为2023、2024、2025年年度报告（香港交易所披露易）及业绩预告。山东梦金园珠宝首饰有限公司为集团核心运营主体，相关财务以集团合并口径列示。</w:t>
      </w:r>
    </w:p>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集团毛利率由2023年5.33%提升至2025年7.62%，主因产品结构与金价上行；但归母净利润由2023年2.30亿元、2024年1.89亿元降至2025年0.97亿元，降幅明显。2025年净利下滑主要因黄金价格持续上涨导致Au(T+D)合约及黄金租赁产生较大损失（据盈利警告，2025年该类损失约8.98—10.97亿元），抵消了金价上行带来的收入与毛利增长。销售净利率2023年1.16%、2024年1.02%、2025年0.53%。</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黄金珠宝企业资产以存货（黄金原料及在制品、产成品）为主，2025年末流动资产占总资产约88.22%，存货占比高，资产流动性依赖于金价与销售周转。速动比率较低（2025年0.68），反映存货占款较重。</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资产负债率三年维持在49%—52%区间（2023年52.18%、2024年49.79%、2025年52.17%），负债水平适中；流动比率1.66—1.89，短期偿债能力总体稳健。但存货与黄金租赁相关负债使流动性管理压力不小。</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经营活动现金流波动较大：2023年约7.6亿元、2024年-3.54亿元、2025年0.76亿元，与金价波动、存货备货及Au(T+D)持仓变动相关。2024年经营现金流转负，反映金价上行期备货与对冲头寸的资金占用；2025年回正但规模有限，盈利质量受对冲损益拖累。</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黄金珠宝同业（如老凤祥、周大福等）相比，梦金园营收规模处于第二梯队，毛利率（5%—8%）低于部分品牌零售主导企业，主因其以加工批发为主、品牌溢价相对有限；但其无焊料焊接技术与经销商网络形成差异化。需重点关注的是对冲损益对净利润的剧烈影响，使其盈利波动显著高于同业。</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梦金园黄金珠宝集团为香港联交所上市公司，建立了股东大会、董事会、审核委员会、薪酬委员会等规范治理结构，并聘任独立董事（如白贤跃、翁鑫、丁晓东等）。山东梦金园珠宝首饰有限公司作为核心子公司，治理纳入集团统一体系。</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集团董事长兼执行董事为王忠善（创始人），执行董事包括张秀琴、王国鑫、王泽刚等家族成员，形成以创始家族为核心的管理层；独立董事提供监督。山东梦金园日常经营由集团委派管理团队负责。</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作为上市公司，集团执行香港上市规则下的内控与披露要求，并设有审核委员会；在黄金采购、Au(T+D)及黄金租赁等高风险业务环节建立内控，但2025年对冲巨亏暴露相关风险管理的不足，公司已在盈利警告中表态加强Au(T+D)与黄金租赁内控。</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公司在昌乐基地拥有珠宝设计、加工制造技术工人及管理团队，依托“无焊料焊接”等技术积累形成技术人才梯队；集团在深圳等地设营销与运营团队，支撑全国经销商网络。</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技术壁垒：无焊料焊接技术实现Au9999高纯度黄金首饰，产品差异化与品质口碑突出。二是渠道网络：千余家品牌经销商覆盖全国，下沉市场渗透力强。三是品牌与规模：昌乐黄金珠宝集群龙头，营收超200亿元，规模效应显著。四是产业链一体化：研发—制造—批发—零售一体化，对金价与成本管控有直接抓手。五是海外拓展：海外收入快速增长，打开第二增长曲线。</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一是金价对冲风险（首要）：公司通过Au(T+D)合约与黄金租赁管理金价风险，但2025年因金价单边上涨产生8.98—10.97亿元浮亏，直接导致净利润大幅下滑，反映对冲策略与内控存在重大缺陷，须重点整改。二是金价波动风险：黄金原料占成本绝对比重，金价剧烈波动冲击毛利与存货价值。三是客户与渠道风险：经销商网络依赖度高，加盟商经营波动影响收入。四是品牌与合规风险：珠宝行业涉及贵金属计量、 labeling 等合规要求，须严格质量管理。五是盈利波动风险：净利率仅0.5%—1.2%，抗风险能力弱。公司已表态强化Au(T+D)与黄金租赁内控、动态调整销售策略以应对。</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结合山东投资（保理、供应链金融、融资租赁、小贷）业务，协同方向包括：（一）黄金租赁/供应链金融：公司黄金原料采购资金占用大，可探索基于真实贸易的黄金采购保理或黄金租赁协同（须严守合规）；（二）融资租赁：加工与检测设备投入可通过融资租赁优化资产结构；（三）经销商保理：面向优质品牌经销商提供应收账款保理，盘活渠道资金；（四）小额贷款：面向上游中小加工配套商提供周转贷款。鉴于公司盈利受对冲损益波动大、净利率低，相关金融业务须以真实贸易背景、严格尽调与动态风控为前提，审慎开展。</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山东梦金园珠宝首饰有限公司（梦金园集团核心运营主体）是昌乐黄金珠宝集群的设计加工与品牌龙头，无焊料焊接技术领先、渠道网络庞大、营收规模行业靠前，但盈利高度受金价对冲损益影响，2025年巨亏暴露风控短板。</w:t>
      </w:r>
    </w:p>
    <w:p>
      <w:pPr>
        <w:spacing w:lineRule="exact" w:line="600" w:before="0" w:after="0"/>
        <w:ind w:firstLine="420"/>
        <w:jc w:val="both"/>
      </w:pPr>
      <w:r>
        <w:rPr>
          <w:rFonts w:ascii="仿宋_GB2312" w:hAnsi="仿宋_GB2312" w:eastAsia="仿宋_GB2312"/>
          <w:b w:val="0"/>
          <w:color w:val="000000"/>
          <w:sz w:val="32"/>
        </w:rPr>
        <w:t>发展展望：黄金消费长期稳健，海外拓展与产品升级（高纯度、文创金饰）提供增长空间；但对冲风险管理能力将决定盈利稳定性。</w:t>
      </w:r>
    </w:p>
    <w:p>
      <w:pPr>
        <w:spacing w:lineRule="exact" w:line="600" w:before="0" w:after="0"/>
        <w:ind w:firstLine="420"/>
        <w:jc w:val="both"/>
      </w:pPr>
      <w:r>
        <w:rPr>
          <w:rFonts w:ascii="仿宋_GB2312" w:hAnsi="仿宋_GB2312" w:eastAsia="仿宋_GB2312"/>
          <w:b w:val="0"/>
          <w:color w:val="000000"/>
          <w:sz w:val="32"/>
        </w:rPr>
        <w:t>挑战与建议：建议（1）根本性整改Au(T+D)与黄金租赁风控，设定对冲敞口上限、引入独立风控；（2）提升品牌溢价以改善毛利率；（3）山东投资在合作时须重点评估其对冲风险敞口，以真实贸易背景的供应链金融、融资租赁为主，审慎介入，严守合规底线。</w:t>
      </w:r>
    </w:p>
    <w:p>
      <w:pPr>
        <w:spacing w:lineRule="exact" w:line="600" w:before="0" w:after="0"/>
        <w:jc w:val="left"/>
      </w:pPr>
      <w:r>
        <w:rPr>
          <w:rFonts w:ascii="仿宋_GB2312" w:hAnsi="仿宋_GB2312" w:eastAsia="仿宋_GB2312"/>
          <w:b w:val="0"/>
          <w:color w:val="000000"/>
          <w:sz w:val="28"/>
        </w:rPr>
        <w:t>数据来源说明：本报告的财务数据来源于梦金园黄金珠宝集团股份有限公司（02585.HK）2023、2024、2025年年度报告及2025、2026年盈利警告（香港交易所披露易 HKEXnews）；工商与品牌信息来源于天眼查、企查查及公司官网（mokingran.com）；产能与集群地位信息来源于潍坊日报及昌乐县公开报道。山东梦金园珠宝首饰有限公司为集团核心运营主体，财务采用集团合并口径并已注明。</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