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山东潍坊昌乐（黄金珠宝）特色产业集群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山东赛菲尔珠宝首饰有限公司企业分析报告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企查查/启信宝公开数据及公司官网（sun-feel.com）。山东赛菲尔珠宝首饰有限公司为民营控股的黄金珠宝加工企业，其单独财务数据未公开披露，已在文中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赛菲尔珠宝首饰有限公司成立于2007年4月9日，统一社会信用代码为91370725661354623F，法定代表人李凤霞，注册资本2,000万元人民币（已全额实缴），企业类型为有限责任公司（自然人投资或控股）。注册地址位于山东省潍坊市昌乐县宝石城昌大路东侧，登记机关为昌乐县市场监督管理局，经营状态为存续。公司经营范围为：珠宝首饰、珠宝工艺品加工、销售及以上产品的进出口业务。参保人数38人（2025年），人员规模小于50人，增值税一般纳税人。</w:t>
      </w:r>
    </w:p>
    <w:p>
      <w:pPr>
        <w:spacing w:lineRule="exact" w:line="600" w:before="0" w:after="0"/>
        <w:ind w:firstLine="420"/>
        <w:jc w:val="both"/>
      </w:pPr>
      <w:r>
        <w:rPr>
          <w:rFonts w:ascii="仿宋_GB2312" w:hAnsi="仿宋_GB2312" w:eastAsia="仿宋_GB2312"/>
          <w:b w:val="0"/>
          <w:color w:val="000000"/>
          <w:sz w:val="32"/>
        </w:rPr>
        <w:t>股权结构：公司由秦万和持股60%（控股股东、实际控制人、受益所有人）、李凤霞持股40%共同出资设立，为民营家族控股企业。秦万和认缴1,200万元，李凤霞认缴800万元。</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依托山东昌乐生产基地（货源供给）与深圳运营总部（货品配发与品牌运营）双中心运作，下设山东赛菲尔珠宝首饰有限公司潍坊分公司、北京分公司等分支机构，并对外投资企业（如昌乐裕丰商务服务有限公司等），形成“山东制造+深圳运营+全国经销”的轻资产运营架构。</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关键节点：2007年4月公司注册成立，立足昌乐黄金珠宝产业；逐步建立“无焊料”万足金技术体系与品牌；设立深圳运营总部，构建以多中心城市为节点的全国营销网络；据公开信息已拥有1,000多家品牌经销商，并成为赛菲尔珠宝品牌运营主体。</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公司定位为“黄金珠宝设计加工与品牌运营企业”，主营业务为珠宝首饰、珠宝工艺品加工与销售（含进出口），核心产品为万足金（高纯度）黄金首饰，是昌乐黄金珠宝特色产业集群的知名品牌企业。</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公司业务以黄金珠宝首饰加工销售为主，并依托深圳总部开展品牌运营与货品配发。具体收入构成数据未公开披露，但据公开信息，其以批发经销与品牌加盟为主，黄金品类占主导。</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主要产品为万足金（高纯度）黄金首饰及珠宝工艺品，主打“无焊料”工艺，强调成色与品质；产品涵盖项链、手镯、戒指、吊坠等。</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下游客户为品牌经销商（加盟商）与批发客户，据公开信息已建立以深圳、武汉、西安、成都、长沙、兰州、济南、沈阳等城市为中心、辐射周边的庞大营销网络，拥有1,000多家品牌经销商，市场覆盖广。</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主要采购为黄金原料，成本受国际金价影响；采用行业通用的“金价+加工费”定价模式。</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公司位于昌乐宝石城，具备黄金珠宝加工能力；拥有“赛菲尔”品牌商标及多项知识产权（据启信宝，拥有企业品牌项目、注册商标及软件著作权等）；持有增值税一般纳税人资质，具备进出口经营权。</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销售以品牌加盟经销为主，依托深圳运营总部的货品配发体系，参加深圳、香港、迪拜、台湾等国内外珠宝展拓展市场（据官网新闻），渠道兼具国内下沉与海外参展。</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公司单独经营与财务数据未公开披露。作为昌乐黄金珠宝集群知名品牌企业，其千余家经销商网络在北方市场具有相当影响力；具体产销与市占率无公开权威数据。</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山东赛菲尔珠宝首饰有限公司为民营有限责任公司，其企业年度报告中的资产状况信息（资产总额、营业总收入、净利润、负债总额等）选择“不公示”，故公司近三年单独财务数据未公开披露。</w:t>
      </w:r>
    </w:p>
    <w:p>
      <w:pPr>
        <w:spacing w:lineRule="exact" w:line="600" w:before="0" w:after="0"/>
        <w:jc w:val="left"/>
      </w:pPr>
      <w:r>
        <w:rPr>
          <w:rFonts w:ascii="仿宋_GB2312" w:hAnsi="仿宋_GB2312" w:eastAsia="仿宋_GB2312"/>
          <w:b w:val="0"/>
          <w:color w:val="000000"/>
          <w:sz w:val="28"/>
        </w:rPr>
        <w:t>注：因公司未公示单独财务数据，本节不列示会计数据表，以避免编造数字。</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缺乏单独披露数据，本文不作量化盈利分析。定性看，盈利与金价及经销网络规模相关。</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公司注册资本2,000万元且全额实缴，资本充实；资产质量因数据未公示无法量化，但黄金珠宝企业资产以存货（黄金）为主。</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负债与偿债能力数据未公开披露。作为民营中小企业，偿债依赖经营现金流与股东支持。</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现金流数据未公开披露。</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因可比数据缺失，以定性说明：相较同集群梦金园（营收超200亿的龙头），赛菲尔为中等规模品牌企业，优势在于万足金工艺与千余家经销商网络；短板在于单独财务透明度低、规模较小。</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公司为自然人控股的有限责任公司，设执行董事兼总经理（李凤霞）及监事（程玉文），治理结构简洁，属典型家族民营企业治理模式。</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法定代表人、执行董事兼总经理李凤霞（持股40%，受益所有人）；监事程玉文；控股股东、实际控制人秦万和（持股60%）。核心决策由创始股东主导。</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公司建立基础财务与质量控制体系，依托山东制造与深圳运营双中心分工；作为中小企业，内控体系相对简化，但遵循珠宝行业计量与质量标准。</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公司参保人数38人（2025年），以设计、加工与运营管理为主；依托昌乐本地珠宝产业人才与深圳运营团队，形成轻量化人力结构。</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工艺与品牌：万足金“无焊料”技术形成产品差异化与品质口碑；赛菲尔品牌在行业具一定知名度（获中国珠宝首饰行业消费者最喜爱十佳品牌等荣誉）。二是渠道网络：1,000多家品牌经销商覆盖全国主要城市，渠道下沉能力强。三是双中心模式：山东制造+深圳运营的轻资产架构，响应市场快、库存压力相对可控。</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金价波动风险：黄金原料占成本主导，金价波动冲击毛利与存货价值。二是客户集中/渠道风险：高度依赖经销商网络，加盟商经营波动影响收入。三是财务不透明风险：单独财务未披露，外部难以准确评估偿债与盈利。四是品牌与合规风险：珠宝行业涉及贵金属计量、标识合规，须严格质量管理；行业竞争（梦金园等龙头及周大福等全国品牌）激烈。五是规模风险：注册资本与用工规模偏小，抗周期能力有限。公司通过工艺差异化、渠道拓展应对。</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结合山东投资（保理、供应链金融、融资租赁、小贷）业务，协同方向包括：（一）黄金采购保理：黄金原料采购资金占用大，可基于真实贸易背景开展采购保理；（二）经销商保理：面向优质经销商提供应收账款保理，盘活渠道资金；（三）小额贷款：面向公司或上游配套商提供周转贷款；（四）融资租赁：加工与展销设备投入可通过融资租赁优化。鉴于公司为民营中小企业、财务透明度低，相关业务须以真实贸易背景、足额抵质押与严格尽调为前提，审慎授信。</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综合评价：山东赛菲尔珠宝首饰有限公司是昌乐黄金珠宝集群中以万足金工艺与千余家经销商网络见长的知名品牌企业，轻资产运营灵活，但规模与财务透明度有限。</w:t>
      </w:r>
    </w:p>
    <w:p>
      <w:pPr>
        <w:spacing w:lineRule="exact" w:line="600" w:before="0" w:after="0"/>
        <w:ind w:firstLine="420"/>
        <w:jc w:val="both"/>
      </w:pPr>
      <w:r>
        <w:rPr>
          <w:rFonts w:ascii="仿宋_GB2312" w:hAnsi="仿宋_GB2312" w:eastAsia="仿宋_GB2312"/>
          <w:b w:val="0"/>
          <w:color w:val="000000"/>
          <w:sz w:val="32"/>
        </w:rPr>
        <w:t>发展展望：黄金消费稳健、品牌化趋势延续，公司有望借助渠道与工艺维持增长；海外参展亦拓展空间。</w:t>
      </w:r>
    </w:p>
    <w:p>
      <w:pPr>
        <w:spacing w:lineRule="exact" w:line="600" w:before="0" w:after="0"/>
        <w:ind w:firstLine="420"/>
        <w:jc w:val="both"/>
      </w:pPr>
      <w:r>
        <w:rPr>
          <w:rFonts w:ascii="仿宋_GB2312" w:hAnsi="仿宋_GB2312" w:eastAsia="仿宋_GB2312"/>
          <w:b w:val="0"/>
          <w:color w:val="000000"/>
          <w:sz w:val="32"/>
        </w:rPr>
        <w:t>挑战与建议：建议（1）提升财务规范与透明度；（2）强化品牌溢价与产品差异化；（3）山东投资合作须以真实贸易背景的供应链金融、小贷为主，落实抵质押与动态风控，防范金价与渠道风险。</w:t>
      </w:r>
    </w:p>
    <w:p>
      <w:pPr>
        <w:spacing w:lineRule="exact" w:line="600" w:before="0" w:after="0"/>
        <w:jc w:val="left"/>
      </w:pPr>
      <w:r>
        <w:rPr>
          <w:rFonts w:ascii="仿宋_GB2312" w:hAnsi="仿宋_GB2312" w:eastAsia="仿宋_GB2312"/>
          <w:b w:val="0"/>
          <w:color w:val="000000"/>
          <w:sz w:val="28"/>
        </w:rPr>
        <w:t>数据来源说明：本报告的工商与股权信息来源于国家企业信用信息公示系统、天眼查、企查查及启信宝公开数据；股权穿透与实际控制人信息来源于天眼查/企查查；营销网络与品牌信息来源于启信宝公开数据及公司官网（sun-feel.com）；财务数据因公司未公示而无法获取，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