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山东潍坊昌乐（黄金珠宝）特色产业集群</w:t>
      </w:r>
    </w:p>
    <w:p>
      <w:pPr>
        <w:spacing w:lineRule="exact" w:line="600" w:before="240" w:after="240"/>
        <w:ind w:firstLine="0"/>
        <w:jc w:val="center"/>
      </w:pPr>
      <w:r>
        <w:rPr>
          <w:rFonts w:ascii="方正小标宋简体" w:hAnsi="方正小标宋简体" w:eastAsia="方正小标宋简体"/>
          <w:b w:val="0"/>
          <w:color w:val="000000"/>
          <w:sz w:val="44"/>
        </w:rPr>
        <w:t>潍坊嘉福珠宝有限公司企业分析报告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（本报告数据来源于国家企业信用信息公示系统、天眼查/水滴信用/企查查公开数据。潍坊嘉福珠宝有限公司为民营控股的宝玉石与珠宝首饰加工销售企业，其单独财务数据未公开披露，已在文中如实标注。）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潍坊嘉福珠宝有限公司成立于2004年3月18日，统一社会信用代码为913707257600223412，法定代表人张晓波，注册资本300万元人民币，企业类型为有限责任公司（自然人投资或控股）。注册地址位于山东省潍坊市昌乐县宝都街道新昌路29号金鼎大厦2号楼1902室，登记机关为昌乐县市场监督管理局，经营状态为存续（在营）。公司经营范围为：宝玉石、工艺品、铂金饰品、珠宝首饰加工、销售（涉及许可证生产经营的须凭许可证生产经营）。参保人数8人（2025年），人员规模小于50人。</w:t>
      </w:r>
    </w:p>
    <w:p>
      <w:pPr>
        <w:spacing w:lineRule="exact" w:line="600" w:before="0" w:after="0"/>
        <w:ind w:firstLine="420"/>
        <w:jc w:val="both"/>
      </w:pPr>
      <w:r>
        <w:rPr>
          <w:rFonts w:ascii="仿宋_GB2312" w:hAnsi="仿宋_GB2312" w:eastAsia="仿宋_GB2312"/>
          <w:b w:val="0"/>
          <w:color w:val="000000"/>
          <w:sz w:val="32"/>
        </w:rPr>
        <w:t>股权结构：公司由张晓波持股79%（控股股东、实际控制人、受益所有人）、张丽持股20%、姜丽丽持股1%共同出资设立，为民营家族控股企业。张晓波认缴237万元，张丽认缴60万元，姜丽丽认缴3万元。</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公司为中小型民营珠宝企业，设有执行董事（张晓波）、监事（张丽）及经理（姜丽丽），并拥有多家分支机构（据公开信息约5家），在昌乐宝石城及周边开展宝玉石与珠宝首饰加工销售业务。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2004年3月公司注册成立，立足昌乐宝玉石与黄金珠宝产业；历经多次股东变更（2015年张安全退出、张晓波成为控股股东）；逐步发展为昌乐黄金珠宝骨干品牌，据集群公开资料为中国驰名商标持有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公司定位为“宝玉石与珠宝首饰加工销售企业”，主营业务为宝玉石、工艺品、铂金饰品、珠宝首饰的加工与销售，是昌乐黄金珠宝特色产业集群中宝玉石与珠宝首饰环节的骨干品牌企业。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公司业务以宝玉石、珠宝首饰加工销售为主，兼营铂金饰品与工艺品。具体收入构成数据未公开披露，以批发与零售结合为主。</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主要产品为宝玉石饰品、黄金珠宝首饰、铂金饰品及工艺品，依托昌乐“中国宝石城”产业集聚优势开展设计加工与销售。</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下游客户为批发商、零售商及终端消费者，依托昌乐宝石城专业市场与自有门店/分支机构触达客户。具体客户明细未公开披露。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主要采购为宝玉石原料、黄金/铂金原料及辅料，成本受贵金属与宝石价格波动影响。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公司位于昌乐宝石城核心区（金鼎大厦），具备宝玉石与珠宝首饰加工能力；据集群公开资料持有中国驰名商标，品牌资质突出；具备珠宝首饰加工销售相关经营资质。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销售以昌乐宝石城专业市场为基础，通过自有门店、分支机构及批发零售网络开展，渠道区域化特征明显。</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公司单独经营与财务数据未公开披露。作为昌乐黄金珠宝集群骨干品牌（中国驰名商标），在区域宝玉石与珠宝首饰市场具一定影响力；具体产销与市占率无公开权威数据。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潍坊嘉福珠宝有限公司为民营有限责任公司，其企业年度报告中的资产状况信息（资产总额、营业总收入、净利润、负债总额等）选择“不公示”，故公司近三年单独财务数据未公开披露。</w:t>
      </w:r>
    </w:p>
    <w:p>
      <w:pPr>
        <w:spacing w:lineRule="exact" w:line="600" w:before="0" w:after="0"/>
        <w:jc w:val="left"/>
      </w:pPr>
      <w:r>
        <w:rPr>
          <w:rFonts w:ascii="仿宋_GB2312" w:hAnsi="仿宋_GB2312" w:eastAsia="仿宋_GB2312"/>
          <w:b w:val="0"/>
          <w:color w:val="000000"/>
          <w:sz w:val="28"/>
        </w:rPr>
        <w:t>注：因公司未公示单独财务数据，本节不列示会计数据表，以避免编造数字。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缺乏单独披露数据，本文不作量化盈利分析。定性看，盈利与珠宝销售及金价相关。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公司注册资本300万元，资本规模较小；资产以存货（珠宝、宝玉石）为主，资产质量因数据未公示无法量化。</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负债与偿债能力数据未公开披露。作为小微民营企业，偿债依赖经营现金流与股东支持。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以定性说明：相较同集群梦金园（龙头）、赛菲尔（千余家经销商），嘉福珠宝规模更小（注册资本300万、参保8人），优势在于中国驰名商标品牌与昌乐宝石城区位；短板在于规模小、财务透明度低。</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公司为自然人控股的有限责任公司，设执行董事（张晓波）、监事（张丽）及经理（姜丽丽），治理简洁，属典型家族小微企业治理模式。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法定代表人、执行董事张晓波（持股79%，实际控制人、受益所有人）；监事张丽（持股20%）；经理姜丽丽（持股1%）。核心决策由创始股东主导。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公司建立基础财务与质量管理体系，遵循珠宝行业计量与标识标准；作为小微企业，内控体系相对简化。</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公司参保人数8人（2025年），用工规模小，以加工、销售与管理为主，依托昌乐本地珠宝产业人才。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品牌资质：据集群公开资料持有中国驰名商标，在区域市场具品牌认知度。二是区位集聚：位于昌乐“中国宝石城”产业集聚区，原料、配套与客流优势明显。三是产品多元：覆盖宝玉石、黄金、铂金等多品类，满足多元需求。</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风险：注册资本300万、参保8人，规模小，抗周期与抗冲击能力弱。二是金价/宝石价格波动风险：原料成本占比高，价格波动冲击毛利。三是财务不透明风险：单独财务未披露，外部难以评估偿债。四是品牌与合规风险：珠宝行业涉及贵金属与宝石计量、标识合规，须严格质量管理；行业竞争激烈。五是渠道局限风险：销售区域化，全国拓展能力有限。公司通过品牌与区位优势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小额贷款：作为小微珠宝企业，季节性备货资金缺口可通过小贷补充；（二）黄金/宝玉石采购保理：基于真实贸易背景开展原料采购保理；（三）存货融资：在合规评估与足值抵质押前提下，探索珠宝存货质押融资；（四）经销商保理：面向下游优质经销商提供应收账款保理。鉴于公司规模小、财务透明度低，相关业务须以真实贸易背景、足额抵质押与严格尽调为前提，审慎授信，控制好敞口。</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综合评价：潍坊嘉福珠宝有限公司是昌乐黄金珠宝集群中以中国驰名商标见长的中小微宝玉石与珠宝首饰企业，区位与品牌资质突出，但规模偏小、财务透明度有限。</w:t>
      </w:r>
    </w:p>
    <w:p>
      <w:pPr>
        <w:spacing w:lineRule="exact" w:line="600" w:before="0" w:after="0"/>
        <w:ind w:firstLine="420"/>
        <w:jc w:val="both"/>
      </w:pPr>
      <w:r>
        <w:rPr>
          <w:rFonts w:ascii="仿宋_GB2312" w:hAnsi="仿宋_GB2312" w:eastAsia="仿宋_GB2312"/>
          <w:b w:val="0"/>
          <w:color w:val="000000"/>
          <w:sz w:val="32"/>
        </w:rPr>
        <w:t>发展展望：黄金珠宝消费稳健，昌乐宝石城集聚效应持续，公司有望维持区域经营；品牌化与线上渠道拓展提供空间。</w:t>
      </w:r>
    </w:p>
    <w:p>
      <w:pPr>
        <w:spacing w:lineRule="exact" w:line="600" w:before="0" w:after="0"/>
        <w:ind w:firstLine="420"/>
        <w:jc w:val="both"/>
      </w:pPr>
      <w:r>
        <w:rPr>
          <w:rFonts w:ascii="仿宋_GB2312" w:hAnsi="仿宋_GB2312" w:eastAsia="仿宋_GB2312"/>
          <w:b w:val="0"/>
          <w:color w:val="000000"/>
          <w:sz w:val="32"/>
        </w:rPr>
        <w:t>挑战与建议：建议（1）规范财务、提升透明度；（2）强化品牌运营与多渠道拓展；（3）山东投资合作须以小贷、存货质押等小额、抵质押充足业务为主，严格风控，防范金价与流动性风险。</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水滴信用及企查查公开数据；股权穿透与实际控制人信息来源于天眼查/水滴信用；品牌资质（中国驰名商标）信息来源于昌乐县及集群公开报道；财务数据因公司未公示而无法获取，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