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山东潍坊昌邑市(海洋精细化工)特色产业集群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山东亚星新材料有限公司/金典化工企业分析报告</w:t>
      </w:r>
    </w:p>
    <w:p>
      <w:pPr>
        <w:spacing w:lineRule="exact" w:line="600" w:before="0" w:after="0"/>
        <w:jc w:val="left"/>
      </w:pPr>
      <w:r>
        <w:rPr>
          <w:rFonts w:ascii="仿宋_GB2312" w:hAnsi="仿宋_GB2312" w:eastAsia="仿宋_GB2312"/>
          <w:b w:val="0"/>
          <w:color w:val="000000"/>
          <w:sz w:val="28"/>
        </w:rPr>
        <w:t>（本报告依据国家企业信用信息公示系统、天眼查/企查查工商登记信息、上海证券交易所上市公司亚星化学（600319.SH）年度报告与公开公告、中国证券报、中国经营报、大众日报及昌邑市地方政务媒体公开报道等渠道整理编制，统计时点截至最新公开披露信息。名称核实说明：经查证，本条目实际对应昌邑下营化工产业园两家链主企业——"潍坊亚星新材料有限公司"（亚星化学600319.SH全资子公司，新材料化工产业链链主）与"山东金典化工有限公司"（精细化工产业链链主），工商登记名称与批次名录中"山东亚星新材料有限公司"存在差异，本报告按实际主体分别分析，文件名保留名录原称以便归档对应。）</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本条目涉及两家昌邑下营化工产业园的链主型企业，现分别说明其工商信息。</w:t>
      </w:r>
    </w:p>
    <w:p>
      <w:pPr>
        <w:spacing w:lineRule="exact" w:line="600" w:before="0" w:after="0"/>
        <w:ind w:firstLine="420"/>
        <w:jc w:val="both"/>
      </w:pPr>
      <w:r>
        <w:rPr>
          <w:rFonts w:ascii="仿宋_GB2312" w:hAnsi="仿宋_GB2312" w:eastAsia="仿宋_GB2312"/>
          <w:b w:val="0"/>
          <w:color w:val="000000"/>
          <w:sz w:val="32"/>
        </w:rPr>
        <w:t>其一，潍坊亚星新材料有限公司。公司成立于2019年8月12日，注册资本6亿元人民币，法定代表人（董事长）为韩海滨，注册地址为山东省潍坊市昌邑市下营滨海经济开发区新区一路与新区东四路交叉口东南，企业类型为有限责任公司（非自然人投资或控股的法人独资），登记状态为在业。公司系潍坊亚星化学股份有限公司（上海证券交易所主板上市公司，股票代码600319.SH，简称"亚星化学"）的全资子公司，人员规模100至499人。</w:t>
      </w:r>
    </w:p>
    <w:p>
      <w:pPr>
        <w:spacing w:lineRule="exact" w:line="600" w:before="0" w:after="0"/>
        <w:ind w:firstLine="420"/>
        <w:jc w:val="both"/>
      </w:pPr>
      <w:r>
        <w:rPr>
          <w:rFonts w:ascii="仿宋_GB2312" w:hAnsi="仿宋_GB2312" w:eastAsia="仿宋_GB2312"/>
          <w:b w:val="0"/>
          <w:color w:val="000000"/>
          <w:sz w:val="32"/>
        </w:rPr>
        <w:t>潍坊亚星新材料有限公司经营范围包括一般项目：新材料技术研发、化工产品生产（不含许可类化工产品）、化工产品销售（不含许可类化工产品）、技术服务与技术开发与技术咨询与技术交流与技术转让与技术推广、货物进出口、技术进出口、建筑材料销售；许可项目：危险化学品生产、危险化学品经营。公司持有安全生产许可证与危险化学品登记证，具备合规生产资质。</w:t>
      </w:r>
    </w:p>
    <w:p>
      <w:pPr>
        <w:spacing w:lineRule="exact" w:line="600" w:before="0" w:after="0"/>
        <w:ind w:firstLine="420"/>
        <w:jc w:val="both"/>
      </w:pPr>
      <w:r>
        <w:rPr>
          <w:rFonts w:ascii="仿宋_GB2312" w:hAnsi="仿宋_GB2312" w:eastAsia="仿宋_GB2312"/>
          <w:b w:val="0"/>
          <w:color w:val="000000"/>
          <w:sz w:val="32"/>
        </w:rPr>
        <w:t>其二，山东金典化工有限公司。公司位于昌邑市下营化工产业园，执行董事为孔嘉，主营高品质硫氢化钠与二硫化碳的生产与销售，是园区精细化工产业链的链主企业。公司为民营控股企业，具体注册资本、股东结构等工商信息以国家企业信用信息公示系统登记为准，本报告未获取到经交叉验证的完整登记数据，故不作具体列示。</w:t>
      </w:r>
    </w:p>
    <w:p>
      <w:pPr>
        <w:spacing w:lineRule="exact" w:line="600" w:before="0" w:after="0"/>
        <w:ind w:firstLine="420"/>
        <w:jc w:val="both"/>
      </w:pPr>
      <w:r>
        <w:rPr>
          <w:rFonts w:ascii="仿宋_GB2312" w:hAnsi="仿宋_GB2312" w:eastAsia="仿宋_GB2312"/>
          <w:b w:val="0"/>
          <w:color w:val="000000"/>
          <w:sz w:val="32"/>
        </w:rPr>
        <w:t>就实际控制关系而言，潍坊亚星新材料有限公司的最终控制主体为亚星化学。亚星化学于2001年在上海证券交易所上市，是山东省管国有控股上市公司，控股股东为潍坊市城投集团，具有明确的地方国资背景与国资层级。这一属性决定了亚星新材料在重大投资、对外担保、关联交易等事项上须同时遵循上市公司监管规则与国有资产监督管理要求。</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潍坊亚星新材料有限公司在亚星化学体系内承担"新材料+氯碱一体化"生产基地的职能，是上市公司实施城区化工装置搬迁入园后的主要生产载体。上市公司层面按产品线设置氯化聚乙烯（CPE）、氯碱（离子膜烧碱及配套）、双氧水三大板块，均在昌邑下营园区内实现装置集中布局，形成"氯碱—CPE—双氧水"的园区内循环体系。</w:t>
      </w:r>
    </w:p>
    <w:p>
      <w:pPr>
        <w:spacing w:lineRule="exact" w:line="600" w:before="0" w:after="0"/>
        <w:ind w:firstLine="420"/>
        <w:jc w:val="both"/>
      </w:pPr>
      <w:r>
        <w:rPr>
          <w:rFonts w:ascii="仿宋_GB2312" w:hAnsi="仿宋_GB2312" w:eastAsia="仿宋_GB2312"/>
          <w:b w:val="0"/>
          <w:color w:val="000000"/>
          <w:sz w:val="32"/>
        </w:rPr>
        <w:t>山东金典化工有限公司实行执行董事负责制的治理结构，组织架构围绕硫氢化钠、二硫化碳两条主生产线设置生产、技术、安全环保、销售等职能单元，规模相对精干。</w:t>
      </w:r>
    </w:p>
    <w:p>
      <w:pPr>
        <w:spacing w:lineRule="exact" w:line="600" w:before="0" w:after="0"/>
        <w:ind w:firstLine="420"/>
        <w:jc w:val="both"/>
      </w:pPr>
      <w:r>
        <w:rPr>
          <w:rFonts w:ascii="仿宋_GB2312" w:hAnsi="仿宋_GB2312" w:eastAsia="仿宋_GB2312"/>
          <w:b w:val="0"/>
          <w:color w:val="000000"/>
          <w:sz w:val="32"/>
        </w:rPr>
        <w:t>在园区协同层面，两家企业与海天生物、汉兴医药共同构成下营化工产业园四条重点产业链的链主：海天生物为盐及盐化工链主、汉兴医药为新医药链主、亚星新材料为高端新材料链主、金典化工为精细化工链主。金典化工的硫氢化钠、二硫化碳产品直接供应园区内奥正化工、大耀新材料等下游企业，通过"隔墙供应""就近配套"实现资源互用、优势互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亚星化学的历史可追溯至潍坊亚星化学股份有限公司2001年在上海证券交易所上市。公司长期以氯化聚乙烯（CPE）为核心产品，是国内乃至全球CPE行业的重要供应商。</w:t>
      </w:r>
    </w:p>
    <w:p>
      <w:pPr>
        <w:spacing w:lineRule="exact" w:line="600" w:before="0" w:after="0"/>
        <w:ind w:firstLine="420"/>
        <w:jc w:val="both"/>
      </w:pPr>
      <w:r>
        <w:rPr>
          <w:rFonts w:ascii="仿宋_GB2312" w:hAnsi="仿宋_GB2312" w:eastAsia="仿宋_GB2312"/>
          <w:b w:val="0"/>
          <w:color w:val="000000"/>
          <w:sz w:val="32"/>
        </w:rPr>
        <w:t>2019年8月，为落实化工园区安全环保整治与"退城入园"要求，公司在昌邑下营滨海经济开发区设立潍坊亚星新材料有限公司，注册资本6亿元，承接高端新材料与离子膜烧碱等项目的建设与运营。搬迁入园既是合规要求，也是公司实现装置大型化、一体化与绿色化升级的战略契机。</w:t>
      </w:r>
    </w:p>
    <w:p>
      <w:pPr>
        <w:spacing w:lineRule="exact" w:line="600" w:before="0" w:after="0"/>
        <w:ind w:firstLine="420"/>
        <w:jc w:val="both"/>
      </w:pPr>
      <w:r>
        <w:rPr>
          <w:rFonts w:ascii="仿宋_GB2312" w:hAnsi="仿宋_GB2312" w:eastAsia="仿宋_GB2312"/>
          <w:b w:val="0"/>
          <w:color w:val="000000"/>
          <w:sz w:val="32"/>
        </w:rPr>
        <w:t>2024年，公司披露收到停产停业损失补偿款5000万元、拆迁奖励款960万元，反映搬迁事项在报告期内进入结算阶段。同年公司营业收入实现搬迁以来的持续恢复性增长。2025年5月12日，亚星化学公告通过非公开发行公司债券议案，计划募集资金不超过2.2亿元，主要用于偿还有息负债及其他合规用途，旨在优化公司及其下属子公司的有息负债结构、缓解资金压力。</w:t>
      </w:r>
    </w:p>
    <w:p>
      <w:pPr>
        <w:spacing w:lineRule="exact" w:line="600" w:before="0" w:after="0"/>
        <w:ind w:firstLine="420"/>
        <w:jc w:val="both"/>
      </w:pPr>
      <w:r>
        <w:rPr>
          <w:rFonts w:ascii="仿宋_GB2312" w:hAnsi="仿宋_GB2312" w:eastAsia="仿宋_GB2312"/>
          <w:b w:val="0"/>
          <w:color w:val="000000"/>
          <w:sz w:val="32"/>
        </w:rPr>
        <w:t>荣誉方面，潍坊亚星新材料有限公司近年入选省级重点行业能效"领跑者"、省级重点用水企业水效"领跑者"，并入选潍坊市年度绿色工厂名单，在绿色制造与能效水效管理方面获得省市两级认可。公司拥有非均相连续化合成的喷射外环流反应装置、氯化聚乙烯风能节约型干燥分离回料系统等多项专利技术。</w:t>
      </w:r>
    </w:p>
    <w:p>
      <w:pPr>
        <w:spacing w:lineRule="exact" w:line="600" w:before="0" w:after="0"/>
        <w:ind w:firstLine="420"/>
        <w:jc w:val="both"/>
      </w:pPr>
      <w:r>
        <w:rPr>
          <w:rFonts w:ascii="仿宋_GB2312" w:hAnsi="仿宋_GB2312" w:eastAsia="仿宋_GB2312"/>
          <w:b w:val="0"/>
          <w:color w:val="000000"/>
          <w:sz w:val="32"/>
        </w:rPr>
        <w:t>山东金典化工有限公司在昌邑化工园区建成后持续扩产升级，据地方媒体报道，公司已建成"全球规模最大、装备最精、工艺最优的高品质硫氢化钠专业基地"，硫氢化钠、二硫化碳两条生产线保持满负荷生产状态。</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潍坊亚星新材料有限公司的战略定位是"高端新材料与离子膜烧碱研发生产基地、昌邑下营园区新材料化工产业链链主"。主营业务为高端新材料和离子膜烧碱的研发与生产，核心产品包括氯化聚乙烯（CPE）、离子膜烧碱及氯碱配套产品、双氧水等。据地方媒体报道，公司拥有全球最大的含氯聚合物生产装置，目标是打造全球市场份额最大的氯化聚乙烯生产基地。</w:t>
      </w:r>
    </w:p>
    <w:p>
      <w:pPr>
        <w:spacing w:lineRule="exact" w:line="600" w:before="0" w:after="0"/>
        <w:ind w:firstLine="420"/>
        <w:jc w:val="both"/>
      </w:pPr>
      <w:r>
        <w:rPr>
          <w:rFonts w:ascii="仿宋_GB2312" w:hAnsi="仿宋_GB2312" w:eastAsia="仿宋_GB2312"/>
          <w:b w:val="0"/>
          <w:color w:val="000000"/>
          <w:sz w:val="32"/>
        </w:rPr>
        <w:t>山东金典化工有限公司的战略定位是"高品质硫氢化钠全球领先制造商、园区精细化工产业链链主"。主营产品为硫氢化钠与二硫化碳。硫氢化钠广泛应用于皮革脱毛、选矿浮选、染料中间体、造纸等领域；二硫化碳是粘胶纤维、橡胶硫化促进剂、农药与选矿药剂的重要原料，两者均为典型的基础精细化工原料，在园区内直接向下游企业供应。</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以上市公司亚星化学2024年年度报告披露的合并口径数据看，公司主营业务收入结构为：CPE收入5.32亿元，同比增长6.75%，占营业收入的58.41%；氯碱收入2.90亿元，同比下降5.39%，占比31.90%；双氧水收入5604.11万元，同比增长563.07%，占比6.16%；其他业务收入2078.49万元，占比2.28%；其他产品收入1142.96万元，占比1.26%。按行业划分，化工业务收入8.78亿元，占比96.46%。</w:t>
      </w:r>
    </w:p>
    <w:p>
      <w:pPr>
        <w:spacing w:lineRule="exact" w:line="600" w:before="0" w:after="0"/>
        <w:ind w:firstLine="420"/>
        <w:jc w:val="both"/>
      </w:pPr>
      <w:r>
        <w:rPr>
          <w:rFonts w:ascii="仿宋_GB2312" w:hAnsi="仿宋_GB2312" w:eastAsia="仿宋_GB2312"/>
          <w:b w:val="0"/>
          <w:color w:val="000000"/>
          <w:sz w:val="32"/>
        </w:rPr>
        <w:t>上述业务的实际生产运营主体即为位于昌邑下营园区的潍坊亚星新材料有限公司及关联生产主体，因此该收入结构可近似视为本条目所指企业的业务构成。双氧水收入同比增长563.07%，系装置投产带来的新增贡献，该套装置将在水合肼装置建成后为其提供主要原料，在此之前主要作为烧碱副产氢气的消纳渠道之一。</w:t>
      </w:r>
    </w:p>
    <w:p>
      <w:pPr>
        <w:spacing w:lineRule="exact" w:line="600" w:before="0" w:after="0"/>
        <w:ind w:firstLine="420"/>
        <w:jc w:val="both"/>
      </w:pPr>
      <w:r>
        <w:rPr>
          <w:rFonts w:ascii="仿宋_GB2312" w:hAnsi="仿宋_GB2312" w:eastAsia="仿宋_GB2312"/>
          <w:b w:val="0"/>
          <w:color w:val="000000"/>
          <w:sz w:val="32"/>
        </w:rPr>
        <w:t>山东金典化工有限公司为非上市企业，其收入构成未公开披露。据公开报道，公司收入主要来自硫氢化钠与二硫化碳两大产品，且两条生产线满负荷运行、订单饱满，具体经营数据本报告不作推算。</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氯化聚乙烯（CPE）是亚星体系的第一大产品。CPE是由高密度聚乙烯经氯化取代反应制得的高分子材料，广泛用作PVC型材、管材的抗冲改性剂，以及电线电缆护套、橡胶制品、防水卷材、阻燃材料的基础原料。2024年公司CPE累计产量74273.37吨，销量76473.42吨，销量略高于产量，实现了去库存；累计均价6953.46元/吨，较上年同期的7303.47元/吨下降4.79%。</w:t>
      </w:r>
    </w:p>
    <w:p>
      <w:pPr>
        <w:spacing w:lineRule="exact" w:line="600" w:before="0" w:after="0"/>
        <w:ind w:firstLine="420"/>
        <w:jc w:val="both"/>
      </w:pPr>
      <w:r>
        <w:rPr>
          <w:rFonts w:ascii="仿宋_GB2312" w:hAnsi="仿宋_GB2312" w:eastAsia="仿宋_GB2312"/>
          <w:b w:val="0"/>
          <w:color w:val="000000"/>
          <w:sz w:val="32"/>
        </w:rPr>
        <w:t>离子膜烧碱及氯碱产品是第二大板块。离子膜法烧碱是当前主流的先进氯碱工艺，产品包括液碱、片碱及副产氯气、氢气。氯气用于CPE生产实现园区内自消纳，氢气则用于双氧水装置或园区燃气锅炉产汽，构成典型的氯碱一体化循环。2024年氯碱业务收入2.90亿元，毛利率11.67%，是三大产品中盈利能力最好的板块。</w:t>
      </w:r>
    </w:p>
    <w:p>
      <w:pPr>
        <w:spacing w:lineRule="exact" w:line="600" w:before="0" w:after="0"/>
        <w:ind w:firstLine="420"/>
        <w:jc w:val="both"/>
      </w:pPr>
      <w:r>
        <w:rPr>
          <w:rFonts w:ascii="仿宋_GB2312" w:hAnsi="仿宋_GB2312" w:eastAsia="仿宋_GB2312"/>
          <w:b w:val="0"/>
          <w:color w:val="000000"/>
          <w:sz w:val="32"/>
        </w:rPr>
        <w:t>双氧水（过氧化氢）是新增板块。公司双氧水生产规模相对较小，行业产量占比低，主要利用地域优势开发鲁东市场，采取直销与经销相结合方式销售。2024年该产品毛利率为-27.86%，处于投产初期的亏损状态，其战略价值在于为规划中的水合肼装置提供原料，并消纳烧碱副产氢气。</w:t>
      </w:r>
    </w:p>
    <w:p>
      <w:pPr>
        <w:spacing w:lineRule="exact" w:line="600" w:before="0" w:after="0"/>
        <w:ind w:firstLine="420"/>
        <w:jc w:val="both"/>
      </w:pPr>
      <w:r>
        <w:rPr>
          <w:rFonts w:ascii="仿宋_GB2312" w:hAnsi="仿宋_GB2312" w:eastAsia="仿宋_GB2312"/>
          <w:b w:val="0"/>
          <w:color w:val="000000"/>
          <w:sz w:val="32"/>
        </w:rPr>
        <w:t>硫氢化钠与二硫化碳是金典化工的核心产品。硫氢化钠（NaHS）主要应用于皮革工业脱毛、有色金属选矿浮选剂、染料与农药中间体、造纸脱木素等；二硫化碳（CS2）是粘胶纤维、玻璃纸、橡胶硫化促进剂、四氯化碳与选矿药剂的关键原料。公司以"高品质"为差异化定位，据报道其硫氢化钠专业基地在规模、装备与工艺三个维度处于全球领先水平。</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亚星体系的CPE客户主要为PVC型材与管材生产企业、电线电缆企业、橡胶与防水材料企业，客户分布于国内主要塑料加工产业集群及海外市场。据地方媒体报道，昌邑当地化工产品出口活跃，同园区的潍坊硕邑化学氯化聚乙烯60%出口欧美市场，反映出该品类具备较强的国际竞争力，亚星新材料亦具备出口能力（经营范围含货物进出口、技术进出口）。</w:t>
      </w:r>
    </w:p>
    <w:p>
      <w:pPr>
        <w:spacing w:lineRule="exact" w:line="600" w:before="0" w:after="0"/>
        <w:ind w:firstLine="420"/>
        <w:jc w:val="both"/>
      </w:pPr>
      <w:r>
        <w:rPr>
          <w:rFonts w:ascii="仿宋_GB2312" w:hAnsi="仿宋_GB2312" w:eastAsia="仿宋_GB2312"/>
          <w:b w:val="0"/>
          <w:color w:val="000000"/>
          <w:sz w:val="32"/>
        </w:rPr>
        <w:t>氯碱产品客户以区域内化工、造纸、印染、水处理、氧化铝等行业企业为主，销售半径受液碱运输经济性限制，通常在500公里以内，具有较强的区域属性。双氧水产品聚焦鲁东市场，客户以造纸、纺织漂白、电子化学品与环保水处理企业为主。</w:t>
      </w:r>
    </w:p>
    <w:p>
      <w:pPr>
        <w:spacing w:lineRule="exact" w:line="600" w:before="0" w:after="0"/>
        <w:ind w:firstLine="420"/>
        <w:jc w:val="both"/>
      </w:pPr>
      <w:r>
        <w:rPr>
          <w:rFonts w:ascii="仿宋_GB2312" w:hAnsi="仿宋_GB2312" w:eastAsia="仿宋_GB2312"/>
          <w:b w:val="0"/>
          <w:color w:val="000000"/>
          <w:sz w:val="32"/>
        </w:rPr>
        <w:t>金典化工的客户结构最具特色：其产品直接供应园区内奥正化工、大耀新材料等下游企业，通过"隔墙供应"实现零运距配套，既降低物流成本与危化品运输安全风险，又形成极强的客户黏性与切换成本。这种园区内产业链闭环是昌邑化工"链式发展"模式的典型样本。</w:t>
      </w:r>
    </w:p>
    <w:p>
      <w:pPr>
        <w:spacing w:lineRule="exact" w:line="600" w:before="0" w:after="0"/>
        <w:ind w:firstLine="420"/>
        <w:jc w:val="both"/>
      </w:pPr>
      <w:r>
        <w:rPr>
          <w:rFonts w:ascii="仿宋_GB2312" w:hAnsi="仿宋_GB2312" w:eastAsia="仿宋_GB2312"/>
          <w:b w:val="0"/>
          <w:color w:val="000000"/>
          <w:sz w:val="32"/>
        </w:rPr>
        <w:t>从应收账款周转看，亚星化学2024年应收账款周转率为19.60次，对应平均回款周期约18天，回款效率处于化工行业较高水平，说明公司对下游客户的议价与结算管理较为严格，客户信用风险总体可控。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CPE生产的主要原料为高密度聚乙烯（HDPE）与氯气。HDPE为石化产品，价格与原油、乙烯价格高度相关，属于外购原料；氯气则由自有离子膜烧碱装置副产供应，实现内部自给，这是公司氯碱一体化布局的核心成本优势——外购氯气不仅价格波动大，且运输受严格管制。</w:t>
      </w:r>
    </w:p>
    <w:p>
      <w:pPr>
        <w:spacing w:lineRule="exact" w:line="600" w:before="0" w:after="0"/>
        <w:ind w:firstLine="420"/>
        <w:jc w:val="both"/>
      </w:pPr>
      <w:r>
        <w:rPr>
          <w:rFonts w:ascii="仿宋_GB2312" w:hAnsi="仿宋_GB2312" w:eastAsia="仿宋_GB2312"/>
          <w:b w:val="0"/>
          <w:color w:val="000000"/>
          <w:sz w:val="32"/>
        </w:rPr>
        <w:t>烧碱生产的主要原料为工业盐（原盐）与电力。昌邑地处渤海莱州湾南岸，原盐资源丰富，采购半径短；电力成本是离子膜烧碱最大的成本项，通常占生产成本的50%以上，公司作为省级重点行业能效"领跑者"，在单位产品电耗控制上具备优势。</w:t>
      </w:r>
    </w:p>
    <w:p>
      <w:pPr>
        <w:spacing w:lineRule="exact" w:line="600" w:before="0" w:after="0"/>
        <w:ind w:firstLine="420"/>
        <w:jc w:val="both"/>
      </w:pPr>
      <w:r>
        <w:rPr>
          <w:rFonts w:ascii="仿宋_GB2312" w:hAnsi="仿宋_GB2312" w:eastAsia="仿宋_GB2312"/>
          <w:b w:val="0"/>
          <w:color w:val="000000"/>
          <w:sz w:val="32"/>
        </w:rPr>
        <w:t>金典化工生产硫氢化钠的主要原料为硫化氢（或硫磺）与烧碱，二硫化碳生产的主要原料为硫磺与天然气（或甲烷）。公司位于园区内，可就近获得烧碱等基础原料，园区"隔墙供应"机制同样作用于其采购端，形成上下游双向配套。</w:t>
      </w:r>
    </w:p>
    <w:p>
      <w:pPr>
        <w:spacing w:lineRule="exact" w:line="600" w:before="0" w:after="0"/>
        <w:ind w:firstLine="420"/>
        <w:jc w:val="both"/>
      </w:pPr>
      <w:r>
        <w:rPr>
          <w:rFonts w:ascii="仿宋_GB2312" w:hAnsi="仿宋_GB2312" w:eastAsia="仿宋_GB2312"/>
          <w:b w:val="0"/>
          <w:color w:val="000000"/>
          <w:sz w:val="32"/>
        </w:rPr>
        <w:t>2024年亚星化学营业成本8.92亿元，毛利率仅2.02%，同比下降0.26个百分点，说明成本端压力显著。存货周转率7.34次，对应存货周转天数约50天，处于合理区间。</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据地方媒体报道，潍坊亚星新材料有限公司拥有全球最大的含氯聚合物生产装置，致力于打造全球市场份额最大的氯化聚乙烯生产基地。以2024年CPE产量74273.37吨、销量76473.42吨测算，公司CPE年产销规模在7万至8万吨量级，在全球CPE市场中占据重要份额。</w:t>
      </w:r>
    </w:p>
    <w:p>
      <w:pPr>
        <w:spacing w:lineRule="exact" w:line="600" w:before="0" w:after="0"/>
        <w:ind w:firstLine="420"/>
        <w:jc w:val="both"/>
      </w:pPr>
      <w:r>
        <w:rPr>
          <w:rFonts w:ascii="仿宋_GB2312" w:hAnsi="仿宋_GB2312" w:eastAsia="仿宋_GB2312"/>
          <w:b w:val="0"/>
          <w:color w:val="000000"/>
          <w:sz w:val="32"/>
        </w:rPr>
        <w:t>资源方面，公司依托昌邑滨海地区丰富的卤水与原盐资源、沿海港口物流条件以及省级化工园区的公用工程配套，具备发展氯碱一体化的良好基础。园区内海天生物提供纯碱等基础原料，形成区域化工原料的集群化保障。</w:t>
      </w:r>
    </w:p>
    <w:p>
      <w:pPr>
        <w:spacing w:lineRule="exact" w:line="600" w:before="0" w:after="0"/>
        <w:ind w:firstLine="420"/>
        <w:jc w:val="both"/>
      </w:pPr>
      <w:r>
        <w:rPr>
          <w:rFonts w:ascii="仿宋_GB2312" w:hAnsi="仿宋_GB2312" w:eastAsia="仿宋_GB2312"/>
          <w:b w:val="0"/>
          <w:color w:val="000000"/>
          <w:sz w:val="32"/>
        </w:rPr>
        <w:t>牌照方面，潍坊亚星新材料有限公司持有安全生产许可证与危险化学品登记证，具备危险化学品生产与经营资质，并拥有货物与技术进出口权。公司在绿色制造资质上表现突出，获评省级重点行业能效"领跑者"、省级重点用水企业水效"领跑者"、市级绿色工厂。</w:t>
      </w:r>
    </w:p>
    <w:p>
      <w:pPr>
        <w:spacing w:lineRule="exact" w:line="600" w:before="0" w:after="0"/>
        <w:ind w:firstLine="420"/>
        <w:jc w:val="both"/>
      </w:pPr>
      <w:r>
        <w:rPr>
          <w:rFonts w:ascii="仿宋_GB2312" w:hAnsi="仿宋_GB2312" w:eastAsia="仿宋_GB2312"/>
          <w:b w:val="0"/>
          <w:color w:val="000000"/>
          <w:sz w:val="32"/>
        </w:rPr>
        <w:t>技术资产方面，公司拥有多项专利技术，包括非均相连续化合成的喷射外环流反应装置、氯化聚乙烯风能节约型干燥分离回料系统等，前者涉及CPE合成的核心反应器设计，后者涉及干燥工序的节能改造，均为直接作用于成本与质量的实用型技术。</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CPE产品以直销为主，面向大型PVC加工企业与电缆企业签订年度框架协议，价格按月或按季调整；出口业务通过外贸渠道与海外代理开展。氯碱产品采取"直销+经销"模式覆盖区域客户。双氧水产品充分利用地域优势开发鲁东市场，直销与经销相结合。</w:t>
      </w:r>
    </w:p>
    <w:p>
      <w:pPr>
        <w:spacing w:lineRule="exact" w:line="600" w:before="0" w:after="0"/>
        <w:ind w:firstLine="420"/>
        <w:jc w:val="both"/>
      </w:pPr>
      <w:r>
        <w:rPr>
          <w:rFonts w:ascii="仿宋_GB2312" w:hAnsi="仿宋_GB2312" w:eastAsia="仿宋_GB2312"/>
          <w:b w:val="0"/>
          <w:color w:val="000000"/>
          <w:sz w:val="32"/>
        </w:rPr>
        <w:t>金典化工的销售模式最为独特，以园区内"隔墙供应"的直供为主，辅以对园区外皮革、选矿、造纸客户的直销。这种模式销售费用极低、账期短、客户稳定，但客户集中度较高。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亚星化学实现营业总收入9.10亿元，同比增长10.37%，延续搬迁以来的恢复性增长趋势；归母净利润-9703.47万元，上年同期为盈利636.45万元；扣非净利润-1.56亿元，上年同期为-1.12亿元。公司员工总数878人，同比增加6.81%，人均创收103.69万元，人均创利-11.05万元，人均薪酬11.37万元。</w:t>
      </w:r>
    </w:p>
    <w:p>
      <w:pPr>
        <w:spacing w:lineRule="exact" w:line="600" w:before="0" w:after="0"/>
        <w:ind w:firstLine="420"/>
        <w:jc w:val="both"/>
      </w:pPr>
      <w:r>
        <w:rPr>
          <w:rFonts w:ascii="仿宋_GB2312" w:hAnsi="仿宋_GB2312" w:eastAsia="仿宋_GB2312"/>
          <w:b w:val="0"/>
          <w:color w:val="000000"/>
          <w:sz w:val="32"/>
        </w:rPr>
        <w:t>截至2024年末，公司三年营业总收入复合增长率为67.8%，在氯碱行业已披露2024年数据的10家上市公司中排名第1，反映搬迁复产后的产能释放力度；但三年净利润复合年增长率为-179.51%，排名第6，呈现典型的"增收不增利"特征。</w:t>
      </w:r>
    </w:p>
    <w:p>
      <w:pPr>
        <w:spacing w:lineRule="exact" w:line="600" w:before="0" w:after="0"/>
        <w:ind w:firstLine="420"/>
        <w:jc w:val="both"/>
      </w:pPr>
      <w:r>
        <w:rPr>
          <w:rFonts w:ascii="仿宋_GB2312" w:hAnsi="仿宋_GB2312" w:eastAsia="仿宋_GB2312"/>
          <w:b w:val="0"/>
          <w:color w:val="000000"/>
          <w:sz w:val="32"/>
        </w:rPr>
        <w:t>市场占有率方面，CPE是全球市场集中度较高的细分品类，国内产能主要集中于山东、江苏等地。公司以7万至8万吨的年产销规模，据报道拥有全球最大的含氯聚合物生产装置，在全球CPE市场中处于领先地位。氯碱与双氧水业务则属于区域性市场，公司规模在全国氯碱行业中相对偏小，双氧水行业产量占比低。</w:t>
      </w:r>
    </w:p>
    <w:p>
      <w:pPr>
        <w:spacing w:lineRule="exact" w:line="600" w:before="0" w:after="0"/>
        <w:ind w:firstLine="420"/>
        <w:jc w:val="both"/>
      </w:pPr>
      <w:r>
        <w:rPr>
          <w:rFonts w:ascii="仿宋_GB2312" w:hAnsi="仿宋_GB2312" w:eastAsia="仿宋_GB2312"/>
          <w:b w:val="0"/>
          <w:color w:val="000000"/>
          <w:sz w:val="32"/>
        </w:rPr>
        <w:t>金典化工据报道建成全球规模最大的高品质硫氢化钠专业基地，在该细分品类中具有全球领先的市场地位，但因非上市企业未披露具体产能与销量数据，本报告不作量化测算。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潍坊亚星新材料有限公司为上市公司全资子公司，其单体财务报表未单独公开披露。本部分采用上市公司亚星化学（600319.SH）经审计的合并口径数据进行分析，该数据实质反映了昌邑下营园区生产主体的经营与财务状况。山东金典化工有限公司为非上市企业，财务数据未公开披露，本报告不作分析。</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948"/>
          </w:tcPr>
          <w:p>
            <w:pPr>
              <w:spacing w:lineRule="exact" w:line="600"/>
              <w:jc w:val="center"/>
            </w:pPr>
            <w:r/>
            <w:r>
              <w:rPr>
                <w:rFonts w:ascii="黑体" w:hAnsi="黑体" w:eastAsia="黑体"/>
                <w:b/>
                <w:color w:val="000000"/>
                <w:sz w:val="32"/>
              </w:rPr>
              <w:t>项目（亚星化学合并口径）</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2948"/>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8.25</w:t>
            </w:r>
          </w:p>
        </w:tc>
        <w:tc>
          <w:tcPr>
            <w:tcW w:type="dxa" w:w="1984"/>
          </w:tcPr>
          <w:p>
            <w:pPr>
              <w:spacing w:lineRule="exact" w:line="600"/>
              <w:jc w:val="center"/>
            </w:pPr>
            <w:r/>
            <w:r>
              <w:rPr>
                <w:rFonts w:ascii="仿宋_GB2312" w:hAnsi="仿宋_GB2312" w:eastAsia="仿宋_GB2312"/>
                <w:b w:val="0"/>
                <w:color w:val="000000"/>
                <w:sz w:val="32"/>
              </w:rPr>
              <w:t>9.10</w:t>
            </w:r>
          </w:p>
        </w:tc>
      </w:tr>
      <w:tr>
        <w:tc>
          <w:tcPr>
            <w:tcW w:type="dxa" w:w="2948"/>
          </w:tcPr>
          <w:p>
            <w:pPr>
              <w:spacing w:lineRule="exact" w:line="600"/>
              <w:jc w:val="center"/>
            </w:pPr>
            <w:r/>
            <w:r>
              <w:rPr>
                <w:rFonts w:ascii="仿宋_GB2312" w:hAnsi="仿宋_GB2312" w:eastAsia="仿宋_GB2312"/>
                <w:b w:val="0"/>
                <w:color w:val="000000"/>
                <w:sz w:val="32"/>
              </w:rPr>
              <w:t>归母净利润（万元）</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636.45</w:t>
            </w:r>
          </w:p>
        </w:tc>
        <w:tc>
          <w:tcPr>
            <w:tcW w:type="dxa" w:w="1984"/>
          </w:tcPr>
          <w:p>
            <w:pPr>
              <w:spacing w:lineRule="exact" w:line="600"/>
              <w:jc w:val="center"/>
            </w:pPr>
            <w:r/>
            <w:r>
              <w:rPr>
                <w:rFonts w:ascii="仿宋_GB2312" w:hAnsi="仿宋_GB2312" w:eastAsia="仿宋_GB2312"/>
                <w:b w:val="0"/>
                <w:color w:val="000000"/>
                <w:sz w:val="32"/>
              </w:rPr>
              <w:t>-9703.47</w:t>
            </w:r>
          </w:p>
        </w:tc>
      </w:tr>
      <w:tr>
        <w:tc>
          <w:tcPr>
            <w:tcW w:type="dxa" w:w="2948"/>
          </w:tcPr>
          <w:p>
            <w:pPr>
              <w:spacing w:lineRule="exact" w:line="600"/>
              <w:jc w:val="center"/>
            </w:pPr>
            <w:r/>
            <w:r>
              <w:rPr>
                <w:rFonts w:ascii="仿宋_GB2312" w:hAnsi="仿宋_GB2312" w:eastAsia="仿宋_GB2312"/>
                <w:b w:val="0"/>
                <w:color w:val="000000"/>
                <w:sz w:val="32"/>
              </w:rPr>
              <w:t>扣非净利润（万元）</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-11200</w:t>
            </w:r>
          </w:p>
        </w:tc>
        <w:tc>
          <w:tcPr>
            <w:tcW w:type="dxa" w:w="1984"/>
          </w:tcPr>
          <w:p>
            <w:pPr>
              <w:spacing w:lineRule="exact" w:line="600"/>
              <w:jc w:val="center"/>
            </w:pPr>
            <w:r/>
            <w:r>
              <w:rPr>
                <w:rFonts w:ascii="仿宋_GB2312" w:hAnsi="仿宋_GB2312" w:eastAsia="仿宋_GB2312"/>
                <w:b w:val="0"/>
                <w:color w:val="000000"/>
                <w:sz w:val="32"/>
              </w:rPr>
              <w:t>-15584</w:t>
            </w:r>
          </w:p>
        </w:tc>
      </w:tr>
      <w:tr>
        <w:tc>
          <w:tcPr>
            <w:tcW w:type="dxa" w:w="2948"/>
          </w:tcPr>
          <w:p>
            <w:pPr>
              <w:spacing w:lineRule="exact" w:line="600"/>
              <w:jc w:val="center"/>
            </w:pPr>
            <w:r/>
            <w:r>
              <w:rPr>
                <w:rFonts w:ascii="仿宋_GB2312" w:hAnsi="仿宋_GB2312" w:eastAsia="仿宋_GB2312"/>
                <w:b w:val="0"/>
                <w:color w:val="000000"/>
                <w:sz w:val="32"/>
              </w:rPr>
              <w:t>销售毛利率（%）</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2.28</w:t>
            </w:r>
          </w:p>
        </w:tc>
        <w:tc>
          <w:tcPr>
            <w:tcW w:type="dxa" w:w="1984"/>
          </w:tcPr>
          <w:p>
            <w:pPr>
              <w:spacing w:lineRule="exact" w:line="600"/>
              <w:jc w:val="center"/>
            </w:pPr>
            <w:r/>
            <w:r>
              <w:rPr>
                <w:rFonts w:ascii="仿宋_GB2312" w:hAnsi="仿宋_GB2312" w:eastAsia="仿宋_GB2312"/>
                <w:b w:val="0"/>
                <w:color w:val="000000"/>
                <w:sz w:val="32"/>
              </w:rPr>
              <w:t>2.02</w:t>
            </w:r>
          </w:p>
        </w:tc>
      </w:tr>
      <w:tr>
        <w:tc>
          <w:tcPr>
            <w:tcW w:type="dxa" w:w="2948"/>
          </w:tcPr>
          <w:p>
            <w:pPr>
              <w:spacing w:lineRule="exact" w:line="600"/>
              <w:jc w:val="center"/>
            </w:pPr>
            <w:r/>
            <w:r>
              <w:rPr>
                <w:rFonts w:ascii="仿宋_GB2312" w:hAnsi="仿宋_GB2312" w:eastAsia="仿宋_GB2312"/>
                <w:b w:val="0"/>
                <w:color w:val="000000"/>
                <w:sz w:val="32"/>
              </w:rPr>
              <w:t>销售净利率（%）</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0.76</w:t>
            </w:r>
          </w:p>
        </w:tc>
        <w:tc>
          <w:tcPr>
            <w:tcW w:type="dxa" w:w="1984"/>
          </w:tcPr>
          <w:p>
            <w:pPr>
              <w:spacing w:lineRule="exact" w:line="600"/>
              <w:jc w:val="center"/>
            </w:pPr>
            <w:r/>
            <w:r>
              <w:rPr>
                <w:rFonts w:ascii="仿宋_GB2312" w:hAnsi="仿宋_GB2312" w:eastAsia="仿宋_GB2312"/>
                <w:b w:val="0"/>
                <w:color w:val="000000"/>
                <w:sz w:val="32"/>
              </w:rPr>
              <w:t>-10.85</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66.69</w:t>
            </w:r>
          </w:p>
        </w:tc>
        <w:tc>
          <w:tcPr>
            <w:tcW w:type="dxa" w:w="1984"/>
          </w:tcPr>
          <w:p>
            <w:pPr>
              <w:spacing w:lineRule="exact" w:line="600"/>
              <w:jc w:val="center"/>
            </w:pPr>
            <w:r/>
            <w:r>
              <w:rPr>
                <w:rFonts w:ascii="仿宋_GB2312" w:hAnsi="仿宋_GB2312" w:eastAsia="仿宋_GB2312"/>
                <w:b w:val="0"/>
                <w:color w:val="000000"/>
                <w:sz w:val="32"/>
              </w:rPr>
              <w:t>69.35</w:t>
            </w:r>
          </w:p>
        </w:tc>
        <w:tc>
          <w:tcPr>
            <w:tcW w:type="dxa" w:w="1984"/>
          </w:tcPr>
          <w:p>
            <w:pPr>
              <w:spacing w:lineRule="exact" w:line="600"/>
              <w:jc w:val="center"/>
            </w:pPr>
            <w:r/>
            <w:r>
              <w:rPr>
                <w:rFonts w:ascii="仿宋_GB2312" w:hAnsi="仿宋_GB2312" w:eastAsia="仿宋_GB2312"/>
                <w:b w:val="0"/>
                <w:color w:val="000000"/>
                <w:sz w:val="32"/>
              </w:rPr>
              <w:t>76.87</w:t>
            </w:r>
          </w:p>
        </w:tc>
      </w:tr>
      <w:tr>
        <w:tc>
          <w:tcPr>
            <w:tcW w:type="dxa" w:w="2948"/>
          </w:tcPr>
          <w:p>
            <w:pPr>
              <w:spacing w:lineRule="exact" w:line="600"/>
              <w:jc w:val="center"/>
            </w:pPr>
            <w:r/>
            <w:r>
              <w:rPr>
                <w:rFonts w:ascii="仿宋_GB2312" w:hAnsi="仿宋_GB2312" w:eastAsia="仿宋_GB2312"/>
                <w:b w:val="0"/>
                <w:color w:val="000000"/>
                <w:sz w:val="32"/>
              </w:rPr>
              <w:t>流动比率</w:t>
            </w:r>
          </w:p>
        </w:tc>
        <w:tc>
          <w:tcPr>
            <w:tcW w:type="dxa" w:w="1984"/>
          </w:tcPr>
          <w:p>
            <w:pPr>
              <w:spacing w:lineRule="exact" w:line="600"/>
              <w:jc w:val="center"/>
            </w:pPr>
            <w:r/>
            <w:r>
              <w:rPr>
                <w:rFonts w:ascii="仿宋_GB2312" w:hAnsi="仿宋_GB2312" w:eastAsia="仿宋_GB2312"/>
                <w:b w:val="0"/>
                <w:color w:val="000000"/>
                <w:sz w:val="32"/>
              </w:rPr>
              <w:t>0.30</w:t>
            </w:r>
          </w:p>
        </w:tc>
        <w:tc>
          <w:tcPr>
            <w:tcW w:type="dxa" w:w="1984"/>
          </w:tcPr>
          <w:p>
            <w:pPr>
              <w:spacing w:lineRule="exact" w:line="600"/>
              <w:jc w:val="center"/>
            </w:pPr>
            <w:r/>
            <w:r>
              <w:rPr>
                <w:rFonts w:ascii="仿宋_GB2312" w:hAnsi="仿宋_GB2312" w:eastAsia="仿宋_GB2312"/>
                <w:b w:val="0"/>
                <w:color w:val="000000"/>
                <w:sz w:val="32"/>
              </w:rPr>
              <w:t>0.26</w:t>
            </w:r>
          </w:p>
        </w:tc>
        <w:tc>
          <w:tcPr>
            <w:tcW w:type="dxa" w:w="1984"/>
          </w:tcPr>
          <w:p>
            <w:pPr>
              <w:spacing w:lineRule="exact" w:line="600"/>
              <w:jc w:val="center"/>
            </w:pPr>
            <w:r/>
            <w:r>
              <w:rPr>
                <w:rFonts w:ascii="仿宋_GB2312" w:hAnsi="仿宋_GB2312" w:eastAsia="仿宋_GB2312"/>
                <w:b w:val="0"/>
                <w:color w:val="000000"/>
                <w:sz w:val="32"/>
              </w:rPr>
              <w:t>0.28</w:t>
            </w:r>
          </w:p>
        </w:tc>
      </w:tr>
      <w:tr>
        <w:tc>
          <w:tcPr>
            <w:tcW w:type="dxa" w:w="2948"/>
          </w:tcPr>
          <w:p>
            <w:pPr>
              <w:spacing w:lineRule="exact" w:line="600"/>
              <w:jc w:val="center"/>
            </w:pPr>
            <w:r/>
            <w:r>
              <w:rPr>
                <w:rFonts w:ascii="仿宋_GB2312" w:hAnsi="仿宋_GB2312" w:eastAsia="仿宋_GB2312"/>
                <w:b w:val="0"/>
                <w:color w:val="000000"/>
                <w:sz w:val="32"/>
              </w:rPr>
              <w:t>经营现金流净额（万元）</w:t>
            </w:r>
          </w:p>
        </w:tc>
        <w:tc>
          <w:tcPr>
            <w:tcW w:type="dxa" w:w="1984"/>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-16800</w:t>
            </w:r>
          </w:p>
        </w:tc>
        <w:tc>
          <w:tcPr>
            <w:tcW w:type="dxa" w:w="1984"/>
          </w:tcPr>
          <w:p>
            <w:pPr>
              <w:spacing w:lineRule="exact" w:line="600"/>
              <w:jc w:val="center"/>
            </w:pPr>
            <w:r/>
            <w:r>
              <w:rPr>
                <w:rFonts w:ascii="仿宋_GB2312" w:hAnsi="仿宋_GB2312" w:eastAsia="仿宋_GB2312"/>
                <w:b w:val="0"/>
                <w:color w:val="000000"/>
                <w:sz w:val="32"/>
              </w:rPr>
              <w:t>3117.54</w:t>
            </w:r>
          </w:p>
        </w:tc>
      </w:tr>
    </w:tbl>
    <w:p>
      <w:pPr>
        <w:spacing w:lineRule="exact" w:line="600" w:before="0" w:after="0"/>
        <w:ind w:firstLine="420"/>
        <w:jc w:val="both"/>
      </w:pPr>
      <w:r>
        <w:rPr>
          <w:rFonts w:ascii="仿宋_GB2312" w:hAnsi="仿宋_GB2312" w:eastAsia="仿宋_GB2312"/>
          <w:b w:val="0"/>
          <w:color w:val="000000"/>
          <w:sz w:val="32"/>
        </w:rPr>
        <w:t>截至2024年12月31日，公司资产合计23.84亿元，负债合计18.33亿元，其中流动负债15.65亿元，货币资金仅1.63亿元，有息负债10.23亿元，有息负债率55.84%。每股净资产1.41元，每股收益-0.25元，每股未分配利润-2.50元，加权平均净资产收益率-16.30%。</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能力面临严峻挑战。2024年销售毛利率仅2.02%，同比下降0.26个百分点；销售净利率-10.85%，较上年同期下降11.61个百分点；毛销差0.66%，几无经营安全垫。分产品看，CPE毛利率仅0.21%，接近盈亏平衡；氯碱毛利率11.67%，是唯一具备正常盈利能力的板块；双氧水毛利率-27.86%，处于投产初期亏损状态。</w:t>
      </w:r>
    </w:p>
    <w:p>
      <w:pPr>
        <w:spacing w:lineRule="exact" w:line="600" w:before="0" w:after="0"/>
        <w:ind w:firstLine="420"/>
        <w:jc w:val="both"/>
      </w:pPr>
      <w:r>
        <w:rPr>
          <w:rFonts w:ascii="仿宋_GB2312" w:hAnsi="仿宋_GB2312" w:eastAsia="仿宋_GB2312"/>
          <w:b w:val="0"/>
          <w:color w:val="000000"/>
          <w:sz w:val="32"/>
        </w:rPr>
        <w:t>亏损的核心原因是产品价格低迷。公司主营的CPE产品受行业竞争加剧、下游需求不旺影响，销售价格处于低位运行（2024年均价6953.46元/吨，同比下降4.79%），虽然销量增长带动营业收入同比增加0.86亿元，但收入增幅低于销量增幅，形成"以价换量"的被动局面。</w:t>
      </w:r>
    </w:p>
    <w:p>
      <w:pPr>
        <w:spacing w:lineRule="exact" w:line="600" w:before="0" w:after="0"/>
        <w:ind w:firstLine="420"/>
        <w:jc w:val="both"/>
      </w:pPr>
      <w:r>
        <w:rPr>
          <w:rFonts w:ascii="仿宋_GB2312" w:hAnsi="仿宋_GB2312" w:eastAsia="仿宋_GB2312"/>
          <w:b w:val="0"/>
          <w:color w:val="000000"/>
          <w:sz w:val="32"/>
        </w:rPr>
        <w:t>值得注意的是，2024年归母净利润-9703.47万元与扣非净利润-1.56亿元之间存在5881.03万元的非经常性损益，其中主要为政府补助6127.33万元，具体包括停产停业损失补偿款5000万元与拆迁奖励款960万元。这意味着公司主营业务的真实亏损幅度大于表观净利润，且该类补偿款具有一次性特征，2025年及以后年度难以持续。</w:t>
      </w:r>
    </w:p>
    <w:p>
      <w:pPr>
        <w:spacing w:lineRule="exact" w:line="600" w:before="0" w:after="0"/>
        <w:ind w:firstLine="420"/>
        <w:jc w:val="both"/>
      </w:pPr>
      <w:r>
        <w:rPr>
          <w:rFonts w:ascii="仿宋_GB2312" w:hAnsi="仿宋_GB2312" w:eastAsia="仿宋_GB2312"/>
          <w:b w:val="0"/>
          <w:color w:val="000000"/>
          <w:sz w:val="32"/>
        </w:rPr>
        <w:t>从季度节奏看，2024年第四季度毛利率2.05%，环比第三季度的-1.22%上升3.26个百分点；净利率0.11%，环比上升16.73个百分点，单季实现微利，显示四季度经营边际改善。但同比看，四季度毛利率仍下降3.48个百分点，净利率下降42.36个百分点，改善的可持续性有待观察。</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2024年末公司资产总额23.84亿元，总资产周转率0.40次，处于化工行业中等偏低水平，反映搬迁新建装置的资产规模较大而产出尚未完全释放。应收账款周转率19.60次，回款效率高，应收账款质量良好。存货周转率7.34次，存货管理效率合理。流动资产周转率2.48次。</w:t>
      </w:r>
    </w:p>
    <w:p>
      <w:pPr>
        <w:spacing w:lineRule="exact" w:line="600" w:before="0" w:after="0"/>
        <w:ind w:firstLine="420"/>
        <w:jc w:val="both"/>
      </w:pPr>
      <w:r>
        <w:rPr>
          <w:rFonts w:ascii="仿宋_GB2312" w:hAnsi="仿宋_GB2312" w:eastAsia="仿宋_GB2312"/>
          <w:b w:val="0"/>
          <w:color w:val="000000"/>
          <w:sz w:val="32"/>
        </w:rPr>
        <w:t>资产结构的突出问题是流动性资产严重不足。货币资金仅1.63亿元，而流动负债高达15.65亿元，现金比率仅11.14%，速动比率0.20，流动比率0.28。这意味着公司短期偿债高度依赖持续经营产生的现金流与债务滚动，一旦融资环境收紧或经营现金流断档，将面临较大的流动性压力。</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呈持续上升态势：2022年末66.69%、2023年末69.35%、2024年末76.87%，至2025年一季度末进一步攀升至80.50%。通常认为60%是制造业企业资产负债率的预警线，公司已显著超出该水平。产权比率3.32，有息负债10.23亿元，有息负债率55.84%，债务结构中短期负债占比过高（流动负债15.65亿元占总负债18.33亿元的85.4%），存在明显的期限错配。</w:t>
      </w:r>
    </w:p>
    <w:p>
      <w:pPr>
        <w:spacing w:lineRule="exact" w:line="600" w:before="0" w:after="0"/>
        <w:ind w:firstLine="420"/>
        <w:jc w:val="both"/>
      </w:pPr>
      <w:r>
        <w:rPr>
          <w:rFonts w:ascii="仿宋_GB2312" w:hAnsi="仿宋_GB2312" w:eastAsia="仿宋_GB2312"/>
          <w:b w:val="0"/>
          <w:color w:val="000000"/>
          <w:sz w:val="32"/>
        </w:rPr>
        <w:t>为缓解债务压力，公司于2025年5月12日公告通过非公开发行公司债券议案，计划募集资金不超过2.2亿元，面值100元/张，期限不超过7年，募集资金主要用于偿还有息负债及其他合规用途，旨在优化公司及其下属子公司的有息负债结构、缓解资金压力。此举的核心逻辑是以长期低成本债券置换高成本短期债务（如融资租赁、短期借款），降低财务费用并改善期限结构。</w:t>
      </w:r>
    </w:p>
    <w:p>
      <w:pPr>
        <w:spacing w:lineRule="exact" w:line="600" w:before="0" w:after="0"/>
        <w:ind w:firstLine="420"/>
        <w:jc w:val="both"/>
      </w:pPr>
      <w:r>
        <w:rPr>
          <w:rFonts w:ascii="仿宋_GB2312" w:hAnsi="仿宋_GB2312" w:eastAsia="仿宋_GB2312"/>
          <w:b w:val="0"/>
          <w:color w:val="000000"/>
          <w:sz w:val="32"/>
        </w:rPr>
        <w:t>公司的重要支撑因素是国有股东背景。作为山东省管国有控股上市公司，控股股东为潍坊市城投集团，在债务重组、增信担保、财政补贴与项目支持等方面具有一定的外部支持预期，这在一定程度上缓释了其高杠杆带来的信用风险，但不应作为授信决策的唯一依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公司经营活动产生的现金流量净额3117.54万元，实现由负转正（上年同期为-1.68亿元），是财务面最积极的信号。每股经营活动现金流量净额0.08元，销售现金比率3.42%，自由现金流量9040.14万元。经营现金流转正主要得益于销量增长带动的回款增加以及应收账款周转效率的提升。</w:t>
      </w:r>
    </w:p>
    <w:p>
      <w:pPr>
        <w:spacing w:lineRule="exact" w:line="600" w:before="0" w:after="0"/>
        <w:ind w:firstLine="420"/>
        <w:jc w:val="both"/>
      </w:pPr>
      <w:r>
        <w:rPr>
          <w:rFonts w:ascii="仿宋_GB2312" w:hAnsi="仿宋_GB2312" w:eastAsia="仿宋_GB2312"/>
          <w:b w:val="0"/>
          <w:color w:val="000000"/>
          <w:sz w:val="32"/>
        </w:rPr>
        <w:t>但应清醒看到，3117.54万元的经营现金流相对于10.23亿元的有息负债规模而言覆盖能力薄弱，按此水平测算的债务偿还年限过长。公司现金流的根本改善依赖于CPE等主导产品价格的周期性回升与双氧水、水合肼等新装置的达产贡献。</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氯碱行业已披露2024年数据的10家上市公司中，公司三年营业收入复合增长率67.8%排名第1，体现出搬迁复产带来的收入弹性；三年净利润复合增长率-179.51%排名第6，盈利表现落后。资产负债率76.87%在同行业中处于偏高水平，流动比率0.28显著低于行业通行的1.0安全线。</w:t>
      </w:r>
    </w:p>
    <w:p>
      <w:pPr>
        <w:spacing w:lineRule="exact" w:line="600" w:before="0" w:after="0"/>
        <w:ind w:firstLine="420"/>
        <w:jc w:val="both"/>
      </w:pPr>
      <w:r>
        <w:rPr>
          <w:rFonts w:ascii="仿宋_GB2312" w:hAnsi="仿宋_GB2312" w:eastAsia="仿宋_GB2312"/>
          <w:b w:val="0"/>
          <w:color w:val="000000"/>
          <w:sz w:val="32"/>
        </w:rPr>
        <w:t>与同园区的海天生物（2024年营业收入25.19亿元、净利润1.88亿元）相比，本条目企业在收入规模上约为其三分之一，盈利能力差距更为明显；与汉兴医药（母公司普洛药业2024年资产负债率46.97%、净利率8.57%）相比，财务稳健性亦有较大差距。这一对比反映出园区四条产业链中，基础盐化工与医药中间体的盈利质量当前优于新材料化工。</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潍坊亚星新材料有限公司为上市公司全资子公司，治理纳入亚星化学规范化治理体系。亚星化学设有股东大会、董事会、监事会与经理层，2025年4月披露的第九届监事会第五次会议决议公告显示其监事会运行正常。作为国有控股上市公司，公司须同时执行中国证监会、上海证券交易所的监管规则与国有资产监督管理的相关要求。</w:t>
      </w:r>
    </w:p>
    <w:p>
      <w:pPr>
        <w:spacing w:lineRule="exact" w:line="600" w:before="0" w:after="0"/>
        <w:ind w:firstLine="420"/>
        <w:jc w:val="both"/>
      </w:pPr>
      <w:r>
        <w:rPr>
          <w:rFonts w:ascii="仿宋_GB2312" w:hAnsi="仿宋_GB2312" w:eastAsia="仿宋_GB2312"/>
          <w:b w:val="0"/>
          <w:color w:val="000000"/>
          <w:sz w:val="32"/>
        </w:rPr>
        <w:t>国资属性方面，公司控股股东为潍坊市城投集团，属于地市级国有资本运营主体，国资层级为潍坊市级。按照国有企业管理规范，公司在"三重一大"（重大事项决策、重要干部任免、重大项目投资决策、大额资金使用）事项上须执行集体决策程序，由党组织前置研究讨论后，再由董事会或经理层依职权决定，确保国有资产保值增值与决策合规。</w:t>
      </w:r>
    </w:p>
    <w:p>
      <w:pPr>
        <w:spacing w:lineRule="exact" w:line="600" w:before="0" w:after="0"/>
        <w:ind w:firstLine="420"/>
        <w:jc w:val="both"/>
      </w:pPr>
      <w:r>
        <w:rPr>
          <w:rFonts w:ascii="仿宋_GB2312" w:hAnsi="仿宋_GB2312" w:eastAsia="仿宋_GB2312"/>
          <w:b w:val="0"/>
          <w:color w:val="000000"/>
          <w:sz w:val="32"/>
        </w:rPr>
        <w:t>党建方面，作为国有控股企业，公司须坚持党的领导与完善公司治理相统一，将党建工作要求写入公司章程，明确党组织在公司法人治理结构中的法定地位，在安全生产、绿色发展、职工权益保障等方面发挥政治引领与组织保障作用。</w:t>
      </w:r>
    </w:p>
    <w:p>
      <w:pPr>
        <w:spacing w:lineRule="exact" w:line="600" w:before="0" w:after="0"/>
        <w:ind w:firstLine="420"/>
        <w:jc w:val="both"/>
      </w:pPr>
      <w:r>
        <w:rPr>
          <w:rFonts w:ascii="仿宋_GB2312" w:hAnsi="仿宋_GB2312" w:eastAsia="仿宋_GB2312"/>
          <w:b w:val="0"/>
          <w:color w:val="000000"/>
          <w:sz w:val="32"/>
        </w:rPr>
        <w:t>山东金典化工有限公司为民营企业，实行执行董事负责制，孔嘉任执行董事，治理结构相对简洁、决策链条短、市场响应快，但在制度化治理与信息透明度方面弱于上市公司体系。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潍坊亚星新材料有限公司法定代表人（董事长）为韩海滨。管理团队核心任务是推进搬迁后新装置的达产达效、控制单位能耗与物耗、恢复盈利能力。从2024年公司获评省级能效"领跑者"、水效"领跑者"与市级绿色工厂看，管理层在精细化运营与绿色制造方面取得了实质性成效。</w:t>
      </w:r>
    </w:p>
    <w:p>
      <w:pPr>
        <w:spacing w:lineRule="exact" w:line="600" w:before="0" w:after="0"/>
        <w:ind w:firstLine="420"/>
        <w:jc w:val="both"/>
      </w:pPr>
      <w:r>
        <w:rPr>
          <w:rFonts w:ascii="仿宋_GB2312" w:hAnsi="仿宋_GB2312" w:eastAsia="仿宋_GB2312"/>
          <w:b w:val="0"/>
          <w:color w:val="000000"/>
          <w:sz w:val="32"/>
        </w:rPr>
        <w:t>山东金典化工有限公司执行董事孔嘉在公开报道中就园区"串珠成链"的产业模式发表见解，显示其对产业链协同的深刻理解与积极实践。</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属于危险化学品生产企业，须严格执行安全生产标准化、双重预防机制、重大危险源监控、特殊作业审批、承包商管理等制度，并接受省市两级应急管理部门的常态化监管。公司持有安全生产许可证与危险化学品登记证，具备合规生产的法定条件。企查查信息显示公司存在18条自身风险提示，需在合作前通过尽职调查逐条核实其性质与影响。</w:t>
      </w:r>
    </w:p>
    <w:p>
      <w:pPr>
        <w:spacing w:lineRule="exact" w:line="600" w:before="0" w:after="0"/>
        <w:ind w:firstLine="420"/>
        <w:jc w:val="both"/>
      </w:pPr>
      <w:r>
        <w:rPr>
          <w:rFonts w:ascii="仿宋_GB2312" w:hAnsi="仿宋_GB2312" w:eastAsia="仿宋_GB2312"/>
          <w:b w:val="0"/>
          <w:color w:val="000000"/>
          <w:sz w:val="32"/>
        </w:rPr>
        <w:t>环保方面，氯碱与CPE生产涉及含氯废气、含盐废水、危险废物等污染因子，环保管理要求高。公司在能效与水效管理上获得省级"领跑者"认定，说明其在清洁生产与资源节约方面处于行业前列。</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亚星化学2024年末员工总数878人，同比增加6.81%；人均创收103.69万元（同比增长3.33%）、人均创利-11.05万元、人均薪酬11.37万元（同比下降3.46%）。潍坊亚星新材料有限公司人员规模区间为100至499人。在公司整体亏损背景下人均薪酬下降，反映出较大的成本控制压力，需关注核心技术与运行人员的稳定性。</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全球领先的单品规模壁垒。据地方媒体报道，潍坊亚星新材料有限公司拥有全球最大的含氯聚合物生产装置，正在打造全球市场份额最大的CPE生产基地；山东金典化工有限公司建成全球规模最大、装备最精、工艺最优的高品质硫氢化钠专业基地。在细分品类中形成全球规模第一的地位，是最直接的竞争壁垒。</w:t>
      </w:r>
    </w:p>
    <w:p>
      <w:pPr>
        <w:spacing w:lineRule="exact" w:line="600" w:before="0" w:after="0"/>
        <w:ind w:firstLine="420"/>
        <w:jc w:val="both"/>
      </w:pPr>
      <w:r>
        <w:rPr>
          <w:rFonts w:ascii="仿宋_GB2312" w:hAnsi="仿宋_GB2312" w:eastAsia="仿宋_GB2312"/>
          <w:b w:val="0"/>
          <w:color w:val="000000"/>
          <w:sz w:val="32"/>
        </w:rPr>
        <w:t>第二，氯碱一体化的成本壁垒。公司自有离子膜烧碱装置副产氯气直供CPE生产，副产氢气用于双氧水装置或产汽，实现"氯气自给、氢气消纳"的循环闭环，避免了外购氯气的价格波动与运输管制风险，构成CPE生产的关键成本优势。</w:t>
      </w:r>
    </w:p>
    <w:p>
      <w:pPr>
        <w:spacing w:lineRule="exact" w:line="600" w:before="0" w:after="0"/>
        <w:ind w:firstLine="420"/>
        <w:jc w:val="both"/>
      </w:pPr>
      <w:r>
        <w:rPr>
          <w:rFonts w:ascii="仿宋_GB2312" w:hAnsi="仿宋_GB2312" w:eastAsia="仿宋_GB2312"/>
          <w:b w:val="0"/>
          <w:color w:val="000000"/>
          <w:sz w:val="32"/>
        </w:rPr>
        <w:t>第三，园区链式协同壁垒。昌邑以"链式发展"优化园区布局，通过"隔墙供应""就近配套"形成资源互用、优势互补的共生体系。金典化工的硫氢化钠、二硫化碳直供园区内奥正化工、大耀新材料等企业，实现零运距配套，既降低物流与安全成本，又形成极高的客户切换成本。</w:t>
      </w:r>
    </w:p>
    <w:p>
      <w:pPr>
        <w:spacing w:lineRule="exact" w:line="600" w:before="0" w:after="0"/>
        <w:ind w:firstLine="420"/>
        <w:jc w:val="both"/>
      </w:pPr>
      <w:r>
        <w:rPr>
          <w:rFonts w:ascii="仿宋_GB2312" w:hAnsi="仿宋_GB2312" w:eastAsia="仿宋_GB2312"/>
          <w:b w:val="0"/>
          <w:color w:val="000000"/>
          <w:sz w:val="32"/>
        </w:rPr>
        <w:t>第四，国资信用壁垒。亚星化学为山东省管国有控股上市公司，控股股东潍坊市城投集团为地市级国有资本平台，在融资可得性、政策支持、土地与园区资源配置、债务化解等方面具备民营企业难以比拟的外部支持条件。</w:t>
      </w:r>
    </w:p>
    <w:p>
      <w:pPr>
        <w:spacing w:lineRule="exact" w:line="600" w:before="0" w:after="0"/>
        <w:ind w:firstLine="420"/>
        <w:jc w:val="both"/>
      </w:pPr>
      <w:r>
        <w:rPr>
          <w:rFonts w:ascii="仿宋_GB2312" w:hAnsi="仿宋_GB2312" w:eastAsia="仿宋_GB2312"/>
          <w:b w:val="0"/>
          <w:color w:val="000000"/>
          <w:sz w:val="32"/>
        </w:rPr>
        <w:t>第五，绿色制造与技术壁垒。公司获评省级重点行业能效"领跑者"、省级重点用水企业水效"领跑者"、市级绿色工厂，在"双碳"约束趋严的背景下，能效与水效领先意味着未来面临的政策性成本更低、扩产审批更顺畅。公司拥有非均相连续化合成的喷射外环流反应装置、氯化聚乙烯风能节约型干燥分离回料系统等专利技术。</w:t>
      </w:r>
    </w:p>
    <w:p>
      <w:pPr>
        <w:spacing w:lineRule="exact" w:line="600" w:before="0" w:after="0"/>
        <w:ind w:firstLine="420"/>
        <w:jc w:val="both"/>
      </w:pPr>
      <w:r>
        <w:rPr>
          <w:rFonts w:ascii="仿宋_GB2312" w:hAnsi="仿宋_GB2312" w:eastAsia="仿宋_GB2312"/>
          <w:b w:val="0"/>
          <w:color w:val="000000"/>
          <w:sz w:val="32"/>
        </w:rPr>
        <w:t>第六，资本市场平台壁垒。作为A股上市公司控股主体，公司具备股权融资、债券融资等多元化融资渠道，2025年拟发行不超过2.2亿元公司债即为该优势的体现。</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CPE行业面临竞争加剧与下游需求不旺的双重压力。CPE的主要下游是PVC型材与管材，与房地产及基建投资高度相关，房地产深度调整直接压制需求。同时国内CPE产能相对充裕，行业竞争激烈，2024年公司CPE均价同比下降4.79%、毛利率仅0.21%，充分反映了行业困境。氯碱行业则受电力成本与烧碱价格周期影响。应对措施上，公司通过扩大销量维持装置负荷、发展双氧水与规划水合肼装置延伸产业链。</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产品结构单一，CPE占营业收入的58.41%，单一品类风险集中；二是新装置爬坡风险，双氧水2024年毛利率-27.86%，新增装置尚未形成盈利贡献，规划中的水合肼装置能否按期建成并达产存在不确定性；三是政府补偿款的一次性特征，2024年5000万元停产停业补偿与960万元拆迁奖励属非经常性收益，2025年起将失去该项支撑，主营亏损将更充分暴露。</w:t>
      </w:r>
    </w:p>
    <w:p>
      <w:pPr>
        <w:spacing w:lineRule="exact" w:line="600" w:before="120" w:after="120"/>
        <w:ind w:firstLine="420"/>
        <w:jc w:val="left"/>
      </w:pPr>
      <w:r>
        <w:rPr>
          <w:rFonts w:ascii="楷体_GB2312" w:hAnsi="楷体_GB2312" w:eastAsia="楷体_GB2312"/>
          <w:b w:val="0"/>
          <w:color w:val="000000"/>
          <w:sz w:val="32"/>
        </w:rPr>
        <w:t>（三）财务风险（重点）</w:t>
      </w:r>
    </w:p>
    <w:p>
      <w:pPr>
        <w:spacing w:lineRule="exact" w:line="600" w:before="0" w:after="0"/>
        <w:ind w:firstLine="420"/>
        <w:jc w:val="both"/>
      </w:pPr>
      <w:r>
        <w:rPr>
          <w:rFonts w:ascii="仿宋_GB2312" w:hAnsi="仿宋_GB2312" w:eastAsia="仿宋_GB2312"/>
          <w:b w:val="0"/>
          <w:color w:val="000000"/>
          <w:sz w:val="32"/>
        </w:rPr>
        <w:t>这是公司当前最突出的风险。截至2024年末资产负债率76.87%，2025年一季度末攀升至80.50%，远超60%的通行预警线；流动比率0.28、速动比率0.20、现金比率11.14%，短期偿债指标全面处于危险区间；货币资金1.63亿元对应流动负债15.65亿元，缺口显著；有息负债10.23亿元，有息负债率55.84%；每股未分配利润-2.50元，存在较大的累计亏损。公司已通过拟发行不超过2.2亿元公司债进行主动纾困，但债券发行本身受市场认购意愿与评级约束，存在不确定性。</w:t>
      </w:r>
    </w:p>
    <w:p>
      <w:pPr>
        <w:spacing w:lineRule="exact" w:line="600" w:before="120" w:after="120"/>
        <w:ind w:firstLine="420"/>
        <w:jc w:val="left"/>
      </w:pPr>
      <w:r>
        <w:rPr>
          <w:rFonts w:ascii="楷体_GB2312" w:hAnsi="楷体_GB2312" w:eastAsia="楷体_GB2312"/>
          <w:b w:val="0"/>
          <w:color w:val="000000"/>
          <w:sz w:val="32"/>
        </w:rPr>
        <w:t>（四）合规与安全环保风险</w:t>
      </w:r>
    </w:p>
    <w:p>
      <w:pPr>
        <w:spacing w:lineRule="exact" w:line="600" w:before="0" w:after="0"/>
        <w:ind w:firstLine="420"/>
        <w:jc w:val="both"/>
      </w:pPr>
      <w:r>
        <w:rPr>
          <w:rFonts w:ascii="仿宋_GB2312" w:hAnsi="仿宋_GB2312" w:eastAsia="仿宋_GB2312"/>
          <w:b w:val="0"/>
          <w:color w:val="000000"/>
          <w:sz w:val="32"/>
        </w:rPr>
        <w:t>公司为危险化学品生产企业，涉及氯气、烧碱、双氧水等危险化学品，安全风险等级高。企查查显示公司存在18条自身风险提示。氯碱与CPE生产的含氯废气、高盐废水、危废处置成本随环保标准趋严而上升。公司虽在能效水效方面表现优异，但仍须持续投入维持合规。</w:t>
      </w:r>
    </w:p>
    <w:p>
      <w:pPr>
        <w:spacing w:lineRule="exact" w:line="600" w:before="120" w:after="120"/>
        <w:ind w:firstLine="420"/>
        <w:jc w:val="left"/>
      </w:pPr>
      <w:r>
        <w:rPr>
          <w:rFonts w:ascii="楷体_GB2312" w:hAnsi="楷体_GB2312" w:eastAsia="楷体_GB2312"/>
          <w:b w:val="0"/>
          <w:color w:val="000000"/>
          <w:sz w:val="32"/>
        </w:rPr>
        <w:t>（五）管理与治理风险</w:t>
      </w:r>
    </w:p>
    <w:p>
      <w:pPr>
        <w:spacing w:lineRule="exact" w:line="600" w:before="0" w:after="0"/>
        <w:ind w:firstLine="420"/>
        <w:jc w:val="both"/>
      </w:pPr>
      <w:r>
        <w:rPr>
          <w:rFonts w:ascii="仿宋_GB2312" w:hAnsi="仿宋_GB2312" w:eastAsia="仿宋_GB2312"/>
          <w:b w:val="0"/>
          <w:color w:val="000000"/>
          <w:sz w:val="32"/>
        </w:rPr>
        <w:t>在持续亏损背景下，人均薪酬同比下降3.46%，核心人员流失风险上升。作为国有控股上市公司，公司在决策效率与市场化激励方面可能受到一定体制约束。此外，若亏损持续，公司存在触发退市风险警示的潜在压力——虽然2024年年报明确表示不适用退市风险警示情形，但需持续跟踪其后续年度的净利润与营业收入指标。</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本条目企业当前的核心诉求是"降杠杆、调结构、补流动性"，与山东投资体系的业务契合度较高，但必须以严格的风控设计为前提。</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应收账款周转率19.60次、回款周期约18天，应收账款质量良好但存量规模有限，纯保理的额度空间受限。建议重点开展反向保理：以公司作为核心买方，为其HDPE、工业盐、硫磺等原料供应商提供应付账款融资，在不增加公司有息负债表内规模的前提下延长其实际付款周期，缓解流动性压力，同时锁定公司的采购付款义务作为还款来源。此类业务对公司的现金流改善作用直接且显著。</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昌邑下营化工产业园"隔墙供应""就近配套"的链式生态是供应链金融的理想场景。可围绕亚星新材料（新材料链主）与金典化工（精细化工链主）搭建"1+N"平台：向上为其原料供应商提供订单与预付款融资；向下为其园区内及区域内的PVC加工、皮革、选矿、造纸等中小客户提供提货融资与应收账款融资。由于交易在园区内闭环发生、物流可视、交割可控，风控条件优于一般贸易场景。</w:t>
      </w:r>
    </w:p>
    <w:p>
      <w:pPr>
        <w:spacing w:lineRule="exact" w:line="600" w:before="120" w:after="120"/>
        <w:ind w:firstLine="420"/>
        <w:jc w:val="left"/>
      </w:pPr>
      <w:r>
        <w:rPr>
          <w:rFonts w:ascii="楷体_GB2312" w:hAnsi="楷体_GB2312" w:eastAsia="楷体_GB2312"/>
          <w:b w:val="0"/>
          <w:color w:val="000000"/>
          <w:sz w:val="32"/>
        </w:rPr>
        <w:t>（三）融资租赁（重点推荐）</w:t>
      </w:r>
    </w:p>
    <w:p>
      <w:pPr>
        <w:spacing w:lineRule="exact" w:line="600" w:before="0" w:after="0"/>
        <w:ind w:firstLine="420"/>
        <w:jc w:val="both"/>
      </w:pPr>
      <w:r>
        <w:rPr>
          <w:rFonts w:ascii="仿宋_GB2312" w:hAnsi="仿宋_GB2312" w:eastAsia="仿宋_GB2312"/>
          <w:b w:val="0"/>
          <w:color w:val="000000"/>
          <w:sz w:val="32"/>
        </w:rPr>
        <w:t>这是最契合公司当前需求的产品。公司2019年搬迁入园后新建了离子膜烧碱、CPE、双氧水等大型装置，固定资产规模大、成新率高、通用性强（如电解槽、干燥系统、储罐、公用工程设备），具备优良的售后回租条件。建议以新建装置中的通用设备为标的开展售后回租，期限5至7年，用于置换公司高成本短期借款，直接改善其期限错配与流动比率。若公司2.2亿元公司债发行受阻，融资租赁可作为替代性的中长期资金来源。直租方面，可对接其规划中的水合肼装置设备采购需求。</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不建议直接服务主体，宜服务其生态圈：为公司的区域经销商（CPE、烧碱、双氧水经销商）提供进货融资；为园区内配套的运输、包装、检维修、劳务服务类小微企业提供经营贷；为金典化工的园区外中小客户（皮革、选矿企业）提供小额周转贷款。单笔额度控制在数十万元至数百万元，以真实订单与提货权为风控抓手。</w:t>
      </w:r>
    </w:p>
    <w:p>
      <w:pPr>
        <w:spacing w:lineRule="exact" w:line="600" w:before="0" w:after="0"/>
        <w:ind w:firstLine="420"/>
        <w:jc w:val="both"/>
      </w:pPr>
      <w:r>
        <w:rPr>
          <w:rFonts w:ascii="仿宋_GB2312" w:hAnsi="仿宋_GB2312" w:eastAsia="仿宋_GB2312"/>
          <w:b w:val="0"/>
          <w:color w:val="000000"/>
          <w:sz w:val="32"/>
        </w:rPr>
        <w:t>综合建议与风控要点：鉴于公司资产负债率已达80.50%、流动比率0.28，任何融资安排都必须落实充分的担保或物权保障。建议：一是优先采用融资租赁（物权担保）与反向保理（自偿性强）等结构化产品，审慎介入纯信用融资；二是争取控股股东潍坊市城投集团或上市公司亚星化学提供连带责任保证担保；三是设置与资产负债率、经营现金流、CPE价格挂钩的财务承诺条款与提前还款触发机制；四是密切跟踪其2.2亿元公司债的发行进展与募集资金实际用途，以及2025年、2026年年报的盈利与退市风险指标；五是对金典化工可单独开展尽职调查，其作为全球最大高品质硫氢化钠基地、订单饱满、满负荷生产，可能是本条目中财务质量更优的合作对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本条目所涉两家企业均为昌邑下营化工产业园的链主型企业，在各自细分品类中具备全球领先的规模地位——潍坊亚星新材料拥有全球最大的含氯聚合物生产装置，山东金典化工建成全球规模最大的高品质硫氢化钠专业基地。产业地位突出、技术与绿色制造资质优良、园区协同生态成熟，是三大正面因素。</w:t>
      </w:r>
    </w:p>
    <w:p>
      <w:pPr>
        <w:spacing w:lineRule="exact" w:line="600" w:before="0" w:after="0"/>
        <w:ind w:firstLine="420"/>
        <w:jc w:val="both"/>
      </w:pPr>
      <w:r>
        <w:rPr>
          <w:rFonts w:ascii="仿宋_GB2312" w:hAnsi="仿宋_GB2312" w:eastAsia="仿宋_GB2312"/>
          <w:b w:val="0"/>
          <w:color w:val="000000"/>
          <w:sz w:val="32"/>
        </w:rPr>
        <w:t>但从财务视角看，以亚星化学合并口径衡量的经营质量令人担忧：2024年营业收入9.10亿元、同比增长10.37%，却录得归母净亏损9703.47万元、扣非净亏损1.56亿元；毛利率2.02%、净利率-10.85%；资产负债率76.87%并于2025年一季度末升至80.50%；流动比率0.28、速动比率0.20，短期偿债压力巨大。典型的"增收不增利、高杠杆、低流动性"组合，风险等级较高。国有控股背景与地方政府支持是其最重要的信用缓释因素。</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公开披露与行业趋势判断，未来发展路径主要有三：一是延链增效，双氧水装置在水合肼装置建成后转为其原料供应环节，形成"烧碱—氢气—双氧水—水合肼"的高附加值链条，改变当前双氧水单独销售亏损的局面；二是降本提效，依托省级能效、水效"领跑者"的管理基础持续压降单位能耗与水耗；三是降杠杆，通过发行不超过2.2亿元公司债置换高成本债务、优化期限结构。金典化工方面，则有望依托其全球领先的硫氢化钠基地地位与园区隔墙供应模式继续稳健增长。</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CPE行业竞争加剧与下游房地产需求疲弱的格局短期难以逆转；二是政府补偿款退出后主营亏损将更充分暴露，2025年起盈利压力加大；三是80.50%的资产负债率与0.28的流动比率构成实质性的流动性约束，融资环境变化将直接冲击经营；四是新项目（水合肼）建设需要资本开支，与降杠杆诉求存在矛盾；五是持续亏损可能引发退市风险预警与人才流失。</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结论：本条目企业具备突出的产业地位与技术资产，但财务风险显著偏高，属于"产业价值高、信用风险大"的类型，宜采取结构化、有物权保障、有股东增信的合作方式，不宜提供大额纯信用融资。</w:t>
      </w:r>
    </w:p>
    <w:p>
      <w:pPr>
        <w:spacing w:lineRule="exact" w:line="600" w:before="0" w:after="0"/>
        <w:ind w:firstLine="420"/>
        <w:jc w:val="both"/>
      </w:pPr>
      <w:r>
        <w:rPr>
          <w:rFonts w:ascii="仿宋_GB2312" w:hAnsi="仿宋_GB2312" w:eastAsia="仿宋_GB2312"/>
          <w:b w:val="0"/>
          <w:color w:val="000000"/>
          <w:sz w:val="32"/>
        </w:rPr>
        <w:t>建议：一是以融资租赁售后回租为主要切入产品，以新建装置通用设备为标的，实现物权保障下的中长期资金支持；二是同步争取潍坊市城投集团或亚星化学的担保增信；三是以反向保理服务其供应商，改善公司现金流的同时开发上游客户群；四是围绕园区"隔墙供应"生态搭建供应链金融平台，批量获客、分散风险；五是对山东金典化工有限公司单独立项尽调，其满负荷生产与全球领先的细分品类地位可能构成更优的合作标的；六是建立季度跟踪机制，重点监控资产负债率、流动比率、经营现金流、CPE价格与销量、公司债发行进展等关键指标，设置预警线与退出机制。</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潍坊亚星化学股份有限公司（600319.SH）2024年年度报告及年度报告摘要（上海证券交易所2025年4月26日披露，中国证券报2025年4月26日刊登），含营业收入、净利润、分产品收入与毛利率、员工人数、双氧水业务说明、搬迁补偿款等。</w:t>
      </w:r>
    </w:p>
    <w:p>
      <w:pPr>
        <w:spacing w:lineRule="exact" w:line="600" w:before="0" w:after="0"/>
        <w:jc w:val="left"/>
      </w:pPr>
      <w:r>
        <w:rPr>
          <w:rFonts w:ascii="仿宋_GB2312" w:hAnsi="仿宋_GB2312" w:eastAsia="仿宋_GB2312"/>
          <w:b w:val="0"/>
          <w:color w:val="000000"/>
          <w:sz w:val="28"/>
        </w:rPr>
        <w:t>2. 中证智能财讯《亚星化学：2024年实现营业总收入9.1亿元 同比增长10.37%》（中国证券报，2025年4月27日）。</w:t>
      </w:r>
    </w:p>
    <w:p>
      <w:pPr>
        <w:spacing w:lineRule="exact" w:line="600" w:before="0" w:after="0"/>
        <w:jc w:val="left"/>
      </w:pPr>
      <w:r>
        <w:rPr>
          <w:rFonts w:ascii="仿宋_GB2312" w:hAnsi="仿宋_GB2312" w:eastAsia="仿宋_GB2312"/>
          <w:b w:val="0"/>
          <w:color w:val="000000"/>
          <w:sz w:val="28"/>
        </w:rPr>
        <w:t>3. 亚星化学（600319.SH）2024年年报财务指标数据（资产负债率76.87%、流动比率0.28、速动比率0.20、有息负债10.23亿元、应收账款周转率19.60次、存货周转率7.34次、三年营收复合增长率67.8%等）。</w:t>
      </w:r>
    </w:p>
    <w:p>
      <w:pPr>
        <w:spacing w:lineRule="exact" w:line="600" w:before="0" w:after="0"/>
        <w:jc w:val="left"/>
      </w:pPr>
      <w:r>
        <w:rPr>
          <w:rFonts w:ascii="仿宋_GB2312" w:hAnsi="仿宋_GB2312" w:eastAsia="仿宋_GB2312"/>
          <w:b w:val="0"/>
          <w:color w:val="000000"/>
          <w:sz w:val="28"/>
        </w:rPr>
        <w:t>4. 中国经营报《亚星化学"增收不增利" 计划发债募资纾困》（2025年5月16日），含2025年5月12日非公开发行公司债券议案、募集资金不超过2.2亿元、2025年一季度末资产负债率80.50%、2022至2024年资产负债率与流动比率变化等。</w:t>
      </w:r>
    </w:p>
    <w:p>
      <w:pPr>
        <w:spacing w:lineRule="exact" w:line="600" w:before="0" w:after="0"/>
        <w:jc w:val="left"/>
      </w:pPr>
      <w:r>
        <w:rPr>
          <w:rFonts w:ascii="仿宋_GB2312" w:hAnsi="仿宋_GB2312" w:eastAsia="仿宋_GB2312"/>
          <w:b w:val="0"/>
          <w:color w:val="000000"/>
          <w:sz w:val="28"/>
        </w:rPr>
        <w:t>5. 天眼查、企查查关于潍坊亚星新材料有限公司的工商登记信息（成立日期2019-08-12、注册资本6亿元、法定代表人韩海滨、注册地址、经营范围、专利技术、绿色工厂与能效水效领跑者荣誉、风险提示条数等）。</w:t>
      </w:r>
    </w:p>
    <w:p>
      <w:pPr>
        <w:spacing w:lineRule="exact" w:line="600" w:before="0" w:after="0"/>
        <w:jc w:val="left"/>
      </w:pPr>
      <w:r>
        <w:rPr>
          <w:rFonts w:ascii="仿宋_GB2312" w:hAnsi="仿宋_GB2312" w:eastAsia="仿宋_GB2312"/>
          <w:b w:val="0"/>
          <w:color w:val="000000"/>
          <w:sz w:val="28"/>
        </w:rPr>
        <w:t>6. 大众网·海报新闻《潍坊昌邑：创新驱动高端化工产业链绿色崛起》《潍坊昌邑：做好"链"文章 培植壮大化工产业》《潍坊昌邑：特色产品"抢滩登陆"海外市场》，含昌邑下营化工产业园四条产业链链主布局、金典化工执行董事孔嘉表述、硫氢化钠与二硫化碳生产线满负荷运行、全球规模最大高品质硫氢化钠专业基地、亚星新材料全球最大含氯聚合物生产装置等。</w:t>
      </w:r>
    </w:p>
    <w:p>
      <w:pPr>
        <w:spacing w:lineRule="exact" w:line="600" w:before="0" w:after="0"/>
        <w:jc w:val="left"/>
      </w:pPr>
      <w:r>
        <w:rPr>
          <w:rFonts w:ascii="仿宋_GB2312" w:hAnsi="仿宋_GB2312" w:eastAsia="仿宋_GB2312"/>
          <w:b w:val="0"/>
          <w:color w:val="000000"/>
          <w:sz w:val="28"/>
        </w:rPr>
        <w:t>特别说明：一、本条目名录名称"山东亚星新材料有限公司/金典化工"与工商登记名称存在差异，经核实实际主体为"潍坊亚星新材料有限公司"与"山东金典化工有限公司"，报告已按实际主体分析。二、潍坊亚星新材料有限公司为上市公司全资子公司，其单体财务报表未单独披露，本报告采用上市公司亚星化学合并口径数据分析。三、山东金典化工有限公司为非上市企业，财务数据未公开披露，本报告如实标注，未作任何推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