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山东潍坊昌邑市(海洋精细化工)特色产业集群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山东汉兴医药科技有限公司企业分析报告</w:t>
      </w:r>
    </w:p>
    <w:p>
      <w:pPr>
        <w:spacing w:lineRule="exact" w:line="600" w:before="0" w:after="0"/>
        <w:jc w:val="left"/>
      </w:pPr>
      <w:r>
        <w:rPr>
          <w:rFonts w:ascii="仿宋_GB2312" w:hAnsi="仿宋_GB2312" w:eastAsia="仿宋_GB2312"/>
          <w:b w:val="0"/>
          <w:color w:val="000000"/>
          <w:sz w:val="28"/>
        </w:rPr>
        <w:t>（本报告依据国家企业信用信息公示系统、天眼查/企查查工商登记信息、深圳证券交易所上市公司普洛药业（000739.SZ）年度报告与公开公告、上海证券报、公司官网、潍坊投资促进网及昌邑市地方政务媒体公开报道等渠道整理编制，统计时点截至最新公开披露信息。名称核实说明：企业现工商登记名称已变更为"山东普洛汉兴医药有限公司"，曾用名"山东汉兴医药科技有限公司""昌邑汉盈医药科技有限公司"，为同一法人主体，统一社会信用代码913707867774034071。报告文件名保留名录原称以便归档对应。）</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汉兴医药科技有限公司（现名"山东普洛汉兴医药有限公司"，以下简称"汉兴医药"或"公司"）成立于2005年7月1日，统一社会信用代码913707867774034071，工商注册号370786228009941，组织机构代码77740340-7，登记机关为昌邑市市场监督管理局，企业登记状态为在营（开业）。公司注册地址为山东省潍坊市昌邑市滨海（下营）经济开发区汉兴路9号，英文名称为Shandong HANXING Pharmaceutical Technology Co., Ltd.。</w:t>
      </w:r>
    </w:p>
    <w:p>
      <w:pPr>
        <w:spacing w:lineRule="exact" w:line="600" w:before="0" w:after="0"/>
        <w:ind w:firstLine="420"/>
        <w:jc w:val="both"/>
      </w:pPr>
      <w:r>
        <w:rPr>
          <w:rFonts w:ascii="仿宋_GB2312" w:hAnsi="仿宋_GB2312" w:eastAsia="仿宋_GB2312"/>
          <w:b w:val="0"/>
          <w:color w:val="000000"/>
          <w:sz w:val="32"/>
        </w:rPr>
        <w:t>公司注册资本为11100万元人民币，实缴资本11100万元人民币（2024年度工商年报口径），企业类型为有限责任公司（港澳台投资、非独资），法定代表人为王维（同时担任总经理），董事长为徐新良。公司为增值税一般纳税人，持有进出口企业代码3700777403407，具备货物与技术进出口经营资格。按国民经济行业分类，公司归入化学原料和化学制品制造业。</w:t>
      </w:r>
    </w:p>
    <w:p>
      <w:pPr>
        <w:spacing w:lineRule="exact" w:line="600" w:before="0" w:after="0"/>
        <w:ind w:firstLine="420"/>
        <w:jc w:val="both"/>
      </w:pPr>
      <w:r>
        <w:rPr>
          <w:rFonts w:ascii="仿宋_GB2312" w:hAnsi="仿宋_GB2312" w:eastAsia="仿宋_GB2312"/>
          <w:b w:val="0"/>
          <w:color w:val="000000"/>
          <w:sz w:val="32"/>
        </w:rPr>
        <w:t>股权结构方面，公司现有股东2名：普洛香港有限公司持股50.4505%（首次持股日期2020年7月26日，实缴出资5600万元，股东类型为外国（地区）企业），为第一大股东；普洛药业股份有限公司（深圳证券交易所主板上市公司，股票代码000739.SZ）持股49.5495%（首次持股日期2012年12月24日，实缴出资5500万元）。由于普洛香港有限公司为普洛药业的境外全资子公司，公司最终受益股份100%归属于普洛药业，属于上市公司全资控制的核心生产子公司。</w:t>
      </w:r>
    </w:p>
    <w:p>
      <w:pPr>
        <w:spacing w:lineRule="exact" w:line="600" w:before="0" w:after="0"/>
        <w:ind w:firstLine="420"/>
        <w:jc w:val="both"/>
      </w:pPr>
      <w:r>
        <w:rPr>
          <w:rFonts w:ascii="仿宋_GB2312" w:hAnsi="仿宋_GB2312" w:eastAsia="仿宋_GB2312"/>
          <w:b w:val="0"/>
          <w:color w:val="000000"/>
          <w:sz w:val="32"/>
        </w:rPr>
        <w:t>就实际控制关系而言，普洛药业股份有限公司隶属于浙江横店集团，横店集团为浙江省大型民营企业集团（社团经济实体），故公司的最终实际控制关系为"横店集团—普洛药业（000739.SZ）—普洛香港/普洛药业—汉兴医药"。公司虽为港澳台投资企业类型，但资本实质来源于境内上市公司的境外平台，属于典型的"返程投资"架构。</w:t>
      </w:r>
    </w:p>
    <w:p>
      <w:pPr>
        <w:spacing w:lineRule="exact" w:line="600" w:before="0" w:after="0"/>
        <w:ind w:firstLine="420"/>
        <w:jc w:val="both"/>
      </w:pPr>
      <w:r>
        <w:rPr>
          <w:rFonts w:ascii="仿宋_GB2312" w:hAnsi="仿宋_GB2312" w:eastAsia="仿宋_GB2312"/>
          <w:b w:val="0"/>
          <w:color w:val="000000"/>
          <w:sz w:val="32"/>
        </w:rPr>
        <w:t>公司经营范围为：研发、生产（储存）、销售硝酸540吨/年、氢溴酸2100吨/年（有效期以许可证为准）、DL-对羟基苯甘氨酸、α-苯基乙磺酸复盐、D-对甲砜基苯丝氨酸乙酯、羟酸、羟酸甲酯、氯化镁、硫酸铵、硫酸钠、羟基甲氧基乙苯、对羟基苯乙醇、叔丁基苯基醚、叔丁醇、乙二醛、乙醛酸、乙二酸、联苯腈、二甲联苯、酒石酸钙、草酸铵、邻硝基苯甲醛、苯莫三嗪、苯乙醇、对氯苯丝氨酸乙酯、对甲砜基苯甲醛、杂螺环酮盐酸盐、L-2-氨基丁酰胺盐酸盐、多西环素、4,6-二氯-5-氟嘧啶、丝氨醇、医药中间体、兽药、兽药原料药；货物与技术进出口。</w:t>
      </w:r>
    </w:p>
    <w:p>
      <w:pPr>
        <w:spacing w:lineRule="exact" w:line="600" w:before="0" w:after="0"/>
        <w:ind w:firstLine="420"/>
        <w:jc w:val="both"/>
      </w:pPr>
      <w:r>
        <w:rPr>
          <w:rFonts w:ascii="仿宋_GB2312" w:hAnsi="仿宋_GB2312" w:eastAsia="仿宋_GB2312"/>
          <w:b w:val="0"/>
          <w:color w:val="000000"/>
          <w:sz w:val="32"/>
        </w:rPr>
        <w:t>公司登记的社保参保人数为722人（2024年度工商年报口径），人员规模区间为700至799人；公司公开招聘资料显示员工规模在880人至900人以上，两者差异主要源于统计口径与时点不同。公司持有危险化学品登记证，属于涉及危险化学品生产与储存的医药化工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在普洛药业体系内定位为原料药与医药中间体的核心生产基地之一。普洛药业形成"原料药中间体、CDMO（合同研发生产）、药品制剂、医美原料药"四大业务板块，汉兴医药主要承担原料药中间体板块的生产职能，涵盖抗生素类、心脑血管类、兽药类三大产品方向。</w:t>
      </w:r>
    </w:p>
    <w:p>
      <w:pPr>
        <w:spacing w:lineRule="exact" w:line="600" w:before="0" w:after="0"/>
        <w:ind w:firstLine="420"/>
        <w:jc w:val="both"/>
      </w:pPr>
      <w:r>
        <w:rPr>
          <w:rFonts w:ascii="仿宋_GB2312" w:hAnsi="仿宋_GB2312" w:eastAsia="仿宋_GB2312"/>
          <w:b w:val="0"/>
          <w:color w:val="000000"/>
          <w:sz w:val="32"/>
        </w:rPr>
        <w:t>公司内部按医药化工企业通行模式设置组织单元，包括生产运行系统（多个合成车间与精制车间）、质量管理系统（QA/QC，负责GMP与客户审计）、研发与工艺开发系统、注册与法规系统（负责DMF等国内外注册）、安全环保系统、设备动力系统、供应链系统及财务人力等职能部门。公司已通过并推行ISO9001质量管理体系、ISO14001环境管理体系、ISO45001职业健康安全管理体系认证。</w:t>
      </w:r>
    </w:p>
    <w:p>
      <w:pPr>
        <w:spacing w:lineRule="exact" w:line="600" w:before="0" w:after="0"/>
        <w:ind w:firstLine="420"/>
        <w:jc w:val="both"/>
      </w:pPr>
      <w:r>
        <w:rPr>
          <w:rFonts w:ascii="仿宋_GB2312" w:hAnsi="仿宋_GB2312" w:eastAsia="仿宋_GB2312"/>
          <w:b w:val="0"/>
          <w:color w:val="000000"/>
          <w:sz w:val="32"/>
        </w:rPr>
        <w:t>对外投资方面，公司持有昌邑华普医药科技有限公司49%股权，认缴出资2894.5万元（该公司注册资本5907.14万元，法定代表人祝永华，成立于2015年1月22日，经营状态在业，所属制造业）。该参股公司系公司在昌邑本地的重要产业协同平台。</w:t>
      </w:r>
    </w:p>
    <w:p>
      <w:pPr>
        <w:spacing w:lineRule="exact" w:line="600" w:before="0" w:after="0"/>
        <w:ind w:firstLine="420"/>
        <w:jc w:val="both"/>
      </w:pPr>
      <w:r>
        <w:rPr>
          <w:rFonts w:ascii="仿宋_GB2312" w:hAnsi="仿宋_GB2312" w:eastAsia="仿宋_GB2312"/>
          <w:b w:val="0"/>
          <w:color w:val="000000"/>
          <w:sz w:val="32"/>
        </w:rPr>
        <w:t>主要人员方面，公司设董事长1名（徐新良）、总经理1名（王维，兼法定代表人）、董事若干（陈志国、朱建军、祝方猛、王力等）、监事若干（陈科献、张进辉、杜少惠等），共9名主要人员，董监事多为普洛药业体系内的管理人员，体现出母公司对子公司的强管控特征。</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2005年7月1日，浙江汉盈控股有限公司出资1400万元、深圳市富依绮实业有限公司出资400万元、山东昌邑灶户盐化有限公司出资200万元共同成立昌邑汉盈医药科技有限公司，三方持股比例分别为70%、20%、10%，注册资本2000万元。公司选址昌邑，主要考虑当地盐化工基础带来的基础原料配套优势。</w:t>
      </w:r>
    </w:p>
    <w:p>
      <w:pPr>
        <w:spacing w:lineRule="exact" w:line="600" w:before="0" w:after="0"/>
        <w:ind w:firstLine="420"/>
        <w:jc w:val="both"/>
      </w:pPr>
      <w:r>
        <w:rPr>
          <w:rFonts w:ascii="仿宋_GB2312" w:hAnsi="仿宋_GB2312" w:eastAsia="仿宋_GB2312"/>
          <w:b w:val="0"/>
          <w:color w:val="000000"/>
          <w:sz w:val="32"/>
        </w:rPr>
        <w:t>2005年10月，公司完成首次股权转让与增资：浙江汉盈控股有限公司将所持1400万元出资额分别转让给胡士良1150万元、虞育强250万元；深圳市富依绮实业有限公司将400万元出资额转让给虞育强；山东昌邑灶户盐化有限公司转让30万元出资额给虞育强，公司由法人持股转为自然人持股结构。此后公司更名为山东汉兴医药科技有限公司，注册资本增至5500万元并全额实缴。</w:t>
      </w:r>
    </w:p>
    <w:p>
      <w:pPr>
        <w:spacing w:lineRule="exact" w:line="600" w:before="0" w:after="0"/>
        <w:ind w:firstLine="420"/>
        <w:jc w:val="both"/>
      </w:pPr>
      <w:r>
        <w:rPr>
          <w:rFonts w:ascii="仿宋_GB2312" w:hAnsi="仿宋_GB2312" w:eastAsia="仿宋_GB2312"/>
          <w:b w:val="0"/>
          <w:color w:val="000000"/>
          <w:sz w:val="32"/>
        </w:rPr>
        <w:t>2012年12月，普洛股份有限公司（现普洛药业）启动非公开发行股份购买资产并募集配套资金暨关联交易，交易标的之一即为山东汉兴医药科技有限公司96%的股权。该次重大资产重组是公司发展史上的关键转折点，公司自此纳入A股上市公司体系与横店集团产业版图，获得资本、管理、渠道与研发的系统性赋能。重组时公司住所为昌邑市卜庄镇址，法定代表人为金旻，注册资本5500万元，主导产品为混旋对羟基苯甘氨酸（含乙二醛、乙醛酸）、D-对甲砜基苯丝氨酸乙酯等。</w:t>
      </w:r>
    </w:p>
    <w:p>
      <w:pPr>
        <w:spacing w:lineRule="exact" w:line="600" w:before="0" w:after="0"/>
        <w:ind w:firstLine="420"/>
        <w:jc w:val="both"/>
      </w:pPr>
      <w:r>
        <w:rPr>
          <w:rFonts w:ascii="仿宋_GB2312" w:hAnsi="仿宋_GB2312" w:eastAsia="仿宋_GB2312"/>
          <w:b w:val="0"/>
          <w:color w:val="000000"/>
          <w:sz w:val="32"/>
        </w:rPr>
        <w:t>2020年7月，普洛香港有限公司受让股权成为持股50.4505%的第一大股东，公司企业类型变更为有限责任公司（港澳台投资、非独资），注册资本增至11100万元并全额实缴。这一安排便利了公司开展国际业务与外汇结算。</w:t>
      </w:r>
    </w:p>
    <w:p>
      <w:pPr>
        <w:spacing w:lineRule="exact" w:line="600" w:before="0" w:after="0"/>
        <w:ind w:firstLine="420"/>
        <w:jc w:val="both"/>
      </w:pPr>
      <w:r>
        <w:rPr>
          <w:rFonts w:ascii="仿宋_GB2312" w:hAnsi="仿宋_GB2312" w:eastAsia="仿宋_GB2312"/>
          <w:b w:val="0"/>
          <w:color w:val="000000"/>
          <w:sz w:val="32"/>
        </w:rPr>
        <w:t>经营规模方面，公司2018年销售额11.49亿元，2019年营业收入实现14.5亿元，此后逐年增加（数据来源为公司校园招聘公开资料）。公司名称此后变更为"山东普洛汉兴医药有限公司"，纳入普洛药业统一品牌体系。2024年8月，公司完成章程备案并采用新章程；2025年9月完成高级管理人员备案变更。</w:t>
      </w:r>
    </w:p>
    <w:p>
      <w:pPr>
        <w:spacing w:lineRule="exact" w:line="600" w:before="0" w:after="0"/>
        <w:ind w:firstLine="420"/>
        <w:jc w:val="both"/>
      </w:pPr>
      <w:r>
        <w:rPr>
          <w:rFonts w:ascii="仿宋_GB2312" w:hAnsi="仿宋_GB2312" w:eastAsia="仿宋_GB2312"/>
          <w:b w:val="0"/>
          <w:color w:val="000000"/>
          <w:sz w:val="32"/>
        </w:rPr>
        <w:t>荣誉资质方面，公司为山东省高新技术企业、专精特新中小企业、省级企业技术中心，并于2025年获评省级制造业单项冠军企业、省级智能工厂、省级先进级智能工厂，在智能制造与细分领域领先性方面获得省级层面认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的战略定位是"普洛药业原料药与医药中间体核心生产基地、昌邑下营化工产业园新医药产业链链主、全球心脑血管类中间体主要供应商"。在昌邑市的产业布局中，公司被明确列为下营化工产业园四条重点产业链之一——新型医药产业链的龙头企业，源源不断地向园区及行业输出各类关键中间体。</w:t>
      </w:r>
    </w:p>
    <w:p>
      <w:pPr>
        <w:spacing w:lineRule="exact" w:line="600" w:before="0" w:after="0"/>
        <w:ind w:firstLine="420"/>
        <w:jc w:val="both"/>
      </w:pPr>
      <w:r>
        <w:rPr>
          <w:rFonts w:ascii="仿宋_GB2312" w:hAnsi="仿宋_GB2312" w:eastAsia="仿宋_GB2312"/>
          <w:b w:val="0"/>
          <w:color w:val="000000"/>
          <w:sz w:val="32"/>
        </w:rPr>
        <w:t>公司主营业务为抗生素类、心脑血管类、兽药类的原料药与医药中间体的研发、制造与销售。核心产品包括：DL-对羟基苯甘氨酸（半合成青霉素与头孢类抗生素的关键侧链中间体）、α-苯基乙磺酸复盐、D-对甲砜基苯丝氨酸乙酯（氟苯尼考等兽药的关键中间体）、乙二醛与乙醛酸（重要的精细化工与医药中间体平台化合物）、多西环素（强力霉素，广谱四环素类抗生素原料药）、丝氨醇、4,6-二氯-5-氟嘧啶、L-2-氨基丁酰胺盐酸盐（左乙拉西坦中间体）、杂螺环酮盐酸盐等。</w:t>
      </w:r>
    </w:p>
    <w:p>
      <w:pPr>
        <w:spacing w:lineRule="exact" w:line="600" w:before="0" w:after="0"/>
        <w:ind w:firstLine="420"/>
        <w:jc w:val="both"/>
      </w:pPr>
      <w:r>
        <w:rPr>
          <w:rFonts w:ascii="仿宋_GB2312" w:hAnsi="仿宋_GB2312" w:eastAsia="仿宋_GB2312"/>
          <w:b w:val="0"/>
          <w:color w:val="000000"/>
          <w:sz w:val="32"/>
        </w:rPr>
        <w:t>公司的行业地位极为突出。据地方权威媒体报道，山东汉兴医药心血管类中间体产品占全国的60%，是全球最大的供应商之一。这一市场份额意味着公司在该细分品类中具有全球性的定价影响力与供应保障责任，是国内医药中间体领域的隐形冠军型企业。</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为非上市法人主体，其收入构成未单独公开披露。据公司公开招聘资料，2018年销售额11.49亿元，2019年营业收入14.5亿元，此后逐年增加。以母公司普洛药业2024年原料药中间体业务86.51亿元的收入规模衡量，汉兴医药是该板块的重要生产基地之一。</w:t>
      </w:r>
    </w:p>
    <w:p>
      <w:pPr>
        <w:spacing w:lineRule="exact" w:line="600" w:before="0" w:after="0"/>
        <w:ind w:firstLine="420"/>
        <w:jc w:val="both"/>
      </w:pPr>
      <w:r>
        <w:rPr>
          <w:rFonts w:ascii="仿宋_GB2312" w:hAnsi="仿宋_GB2312" w:eastAsia="仿宋_GB2312"/>
          <w:b w:val="0"/>
          <w:color w:val="000000"/>
          <w:sz w:val="32"/>
        </w:rPr>
        <w:t>从产品结构看，公司收入主要来自三大方向：一是抗生素类中间体与原料药（DL-对羟基苯甘氨酸、多西环素等），对应下游为半合成青霉素、头孢菌素、四环素类制剂；二是心脑血管类中间体，据报道占全国60%份额，是公司最具竞争力与盈利能力的板块；三是兽药原料药与中间体（D-对甲砜基苯丝氨酸乙酯等氟苯尼考中间体），对应下游为畜禽与水产养殖用药市场。</w:t>
      </w:r>
    </w:p>
    <w:p>
      <w:pPr>
        <w:spacing w:lineRule="exact" w:line="600" w:before="0" w:after="0"/>
        <w:ind w:firstLine="420"/>
        <w:jc w:val="both"/>
      </w:pPr>
      <w:r>
        <w:rPr>
          <w:rFonts w:ascii="仿宋_GB2312" w:hAnsi="仿宋_GB2312" w:eastAsia="仿宋_GB2312"/>
          <w:b w:val="0"/>
          <w:color w:val="000000"/>
          <w:sz w:val="32"/>
        </w:rPr>
        <w:t>母公司普洛药业2024年整体经营数据可作为参照：营业收入120.22亿元，同比增长4.77%；其中原料药中间体86.51亿元（占比71.96%，同比增长8.32%，毛利率14.97%，同比下降2.59个百分点）；CDMO业务18.84亿元（占比15.67%，同比下降6.05%，毛利率41.06%）；药品业务12.56亿元（占比10.44%，同比增长0.51%，毛利率60.81%）；其他业务6534.92万元。</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DL-对羟基苯甘氨酸是公司的传统主导产品，是生产阿莫西林、头孢羟氨苄等半合成β-内酰胺类抗生素的关键侧链中间体。该产品全球需求稳定，中国是主要生产国，公司在该品类具有长期的工艺积累与成本优势。配套产品乙二醛、乙醛酸既是该合成路线的中间物料，也可对外独立销售。</w:t>
      </w:r>
    </w:p>
    <w:p>
      <w:pPr>
        <w:spacing w:lineRule="exact" w:line="600" w:before="0" w:after="0"/>
        <w:ind w:firstLine="420"/>
        <w:jc w:val="both"/>
      </w:pPr>
      <w:r>
        <w:rPr>
          <w:rFonts w:ascii="仿宋_GB2312" w:hAnsi="仿宋_GB2312" w:eastAsia="仿宋_GB2312"/>
          <w:b w:val="0"/>
          <w:color w:val="000000"/>
          <w:sz w:val="32"/>
        </w:rPr>
        <w:t>心脑血管类中间体是公司份额最高的品类，据报道占全国60%、为全球最大供应商之一。经营范围中的L-2-氨基丁酰胺盐酸盐（左乙拉西坦关键中间体）、苯莫三嗪、杂螺环酮盐酸盐等属于神经与心脑血管领域的中间体产品。该类产品技术壁垒高、客户认证周期长、单价与毛利率显著高于大宗抗生素中间体。</w:t>
      </w:r>
    </w:p>
    <w:p>
      <w:pPr>
        <w:spacing w:lineRule="exact" w:line="600" w:before="0" w:after="0"/>
        <w:ind w:firstLine="420"/>
        <w:jc w:val="both"/>
      </w:pPr>
      <w:r>
        <w:rPr>
          <w:rFonts w:ascii="仿宋_GB2312" w:hAnsi="仿宋_GB2312" w:eastAsia="仿宋_GB2312"/>
          <w:b w:val="0"/>
          <w:color w:val="000000"/>
          <w:sz w:val="32"/>
        </w:rPr>
        <w:t>D-对甲砜基苯丝氨酸乙酯与对甲砜基苯甲醛是氟苯尼考（兽用广谱抗菌药）的核心中间体，下游对应养殖业用药市场。随着养殖规模化与动保行业规范化推进，该品类需求相对稳定，且受人用药集采政策影响较小。</w:t>
      </w:r>
    </w:p>
    <w:p>
      <w:pPr>
        <w:spacing w:lineRule="exact" w:line="600" w:before="0" w:after="0"/>
        <w:ind w:firstLine="420"/>
        <w:jc w:val="both"/>
      </w:pPr>
      <w:r>
        <w:rPr>
          <w:rFonts w:ascii="仿宋_GB2312" w:hAnsi="仿宋_GB2312" w:eastAsia="仿宋_GB2312"/>
          <w:b w:val="0"/>
          <w:color w:val="000000"/>
          <w:sz w:val="32"/>
        </w:rPr>
        <w:t>多西环素（强力霉素）是公司的原料药产品，属于四环素类广谱抗生素，人用与兽用市场均有需求。公司同时生产硝酸（540吨/年）、氢溴酸（2100吨/年）等许可类化学品，主要用于自身合成工艺配套。</w:t>
      </w:r>
    </w:p>
    <w:p>
      <w:pPr>
        <w:spacing w:lineRule="exact" w:line="600" w:before="0" w:after="0"/>
        <w:ind w:firstLine="420"/>
        <w:jc w:val="both"/>
      </w:pPr>
      <w:r>
        <w:rPr>
          <w:rFonts w:ascii="仿宋_GB2312" w:hAnsi="仿宋_GB2312" w:eastAsia="仿宋_GB2312"/>
          <w:b w:val="0"/>
          <w:color w:val="000000"/>
          <w:sz w:val="32"/>
        </w:rPr>
        <w:t>技术服务方面，依托普洛药业的CDMO平台能力，公司可承接创新药企业的定制研发与生产订单。普洛药业2024年报价项目达1601个、进行中项目996个、商业化阶段项目355个，已与572家国内外创新药企业签订保密协议，这一平台资源可为汉兴医药带来高附加值订单转化机会。</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结构以国内外制药企业为主体。抗生素中间体的客户为国内外大型原料药与制剂企业（如生产阿莫西林、头孢类制剂的企业）；心脑血管类中间体的客户为专科制剂企业与跨国药企的原料药采购部门；兽药中间体客户为国内外动保企业。由于心血管类中间体占全国60%份额且为全球最大供应商之一，公司在该品类中的客户覆盖面极广，客户集中度相对分散。</w:t>
      </w:r>
    </w:p>
    <w:p>
      <w:pPr>
        <w:spacing w:lineRule="exact" w:line="600" w:before="0" w:after="0"/>
        <w:ind w:firstLine="420"/>
        <w:jc w:val="both"/>
      </w:pPr>
      <w:r>
        <w:rPr>
          <w:rFonts w:ascii="仿宋_GB2312" w:hAnsi="仿宋_GB2312" w:eastAsia="仿宋_GB2312"/>
          <w:b w:val="0"/>
          <w:color w:val="000000"/>
          <w:sz w:val="32"/>
        </w:rPr>
        <w:t>公司作为普洛药业体系成员，可共享母公司的全球客户网络。普洛药业2024年新增客户超过50家，CDMO业务国外市场主要分布在欧洲、北美和日本等国家和地区，国内市场已覆盖各大中型城市客户群。母公司应收账款周转率6.95次（对应回款周期约52天），在医药制造业中属于正常水平，客户信用状况总体良好。</w:t>
      </w:r>
    </w:p>
    <w:p>
      <w:pPr>
        <w:spacing w:lineRule="exact" w:line="600" w:before="0" w:after="0"/>
        <w:ind w:firstLine="420"/>
        <w:jc w:val="both"/>
      </w:pPr>
      <w:r>
        <w:rPr>
          <w:rFonts w:ascii="仿宋_GB2312" w:hAnsi="仿宋_GB2312" w:eastAsia="仿宋_GB2312"/>
          <w:b w:val="0"/>
          <w:color w:val="000000"/>
          <w:sz w:val="32"/>
        </w:rPr>
        <w:t>公司在园区内亦扮演供应商角色，向园区下游企业输出关键中间体，是昌邑下营化工产业园新医药产业链链主。这种"对外全球销售+对内园区配套"的双重身份，使其客户网络兼具国际化与本地化特征。</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原料包括苯酚类、甲苯类基础有机化工原料、硫磺与硫化物、氯碱产品（烧碱、盐酸）、氨与氨基化合物、催化剂与溶剂等。区位上的显著优势是园区内配套：海天生物提供纯碱等基础碱料，亚星新材料与金典化工提供烧碱、硫氢化钠等化工原料，通过园区"隔墙供应""就近配套"机制，公司可大幅降低原料采购与危化品运输的成本与风险。</w:t>
      </w:r>
    </w:p>
    <w:p>
      <w:pPr>
        <w:spacing w:lineRule="exact" w:line="600" w:before="0" w:after="0"/>
        <w:ind w:firstLine="420"/>
        <w:jc w:val="both"/>
      </w:pPr>
      <w:r>
        <w:rPr>
          <w:rFonts w:ascii="仿宋_GB2312" w:hAnsi="仿宋_GB2312" w:eastAsia="仿宋_GB2312"/>
          <w:b w:val="0"/>
          <w:color w:val="000000"/>
          <w:sz w:val="32"/>
        </w:rPr>
        <w:t>公司持有危险化学品登记证，具备危化品的合规储存条件，可开展战略性原料储备以平抑价格波动。作为普洛药业体系成员，公司纳入母公司集中采购平台，在大宗原料与溶剂的采购议价上具备集团化优势。母公司普洛药业2024年存货周转率4.64次，存货管理效率处于合理水平。</w:t>
      </w:r>
    </w:p>
    <w:p>
      <w:pPr>
        <w:spacing w:lineRule="exact" w:line="600" w:before="0" w:after="0"/>
        <w:ind w:firstLine="420"/>
        <w:jc w:val="both"/>
      </w:pPr>
      <w:r>
        <w:rPr>
          <w:rFonts w:ascii="仿宋_GB2312" w:hAnsi="仿宋_GB2312" w:eastAsia="仿宋_GB2312"/>
          <w:b w:val="0"/>
          <w:color w:val="000000"/>
          <w:sz w:val="32"/>
        </w:rPr>
        <w:t>在招投标方面，公开信息显示公司参与了工业草酸等原料的集中采购项目（如中国宝原投资有限公司集采中心组织的采购项目），反映其采购渠道的规范化与市场化程度较高。</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具体分产品产能未公开披露，但从经营范围登记的许可产能可见其规模：硝酸540吨/年、氢溴酸2100吨/年，以及DL-对羟基苯甘氨酸、D-对甲砜基苯丝氨酸乙酯、多西环素等多个品类的生产能力。以2019年14.5亿元营业收入并逐年增加的规模推算，公司属于国内医药中间体行业的大型生产企业。</w:t>
      </w:r>
    </w:p>
    <w:p>
      <w:pPr>
        <w:spacing w:lineRule="exact" w:line="600" w:before="0" w:after="0"/>
        <w:ind w:firstLine="420"/>
        <w:jc w:val="both"/>
      </w:pPr>
      <w:r>
        <w:rPr>
          <w:rFonts w:ascii="仿宋_GB2312" w:hAnsi="仿宋_GB2312" w:eastAsia="仿宋_GB2312"/>
          <w:b w:val="0"/>
          <w:color w:val="000000"/>
          <w:sz w:val="32"/>
        </w:rPr>
        <w:t>牌照与资质方面，公司持有危险化学品登记证与相应的安全生产许可，具备医药中间体与兽药原料药的生产资质。质量体系方面，公司通过ISO9001、ISO14001、ISO45001三体系认证。母公司普洛药业2024年完成20个API品种DMF申报、12个API品种国内外注册获批，公司可依托该注册体系进入规范市场。</w:t>
      </w:r>
    </w:p>
    <w:p>
      <w:pPr>
        <w:spacing w:lineRule="exact" w:line="600" w:before="0" w:after="0"/>
        <w:ind w:firstLine="420"/>
        <w:jc w:val="both"/>
      </w:pPr>
      <w:r>
        <w:rPr>
          <w:rFonts w:ascii="仿宋_GB2312" w:hAnsi="仿宋_GB2312" w:eastAsia="仿宋_GB2312"/>
          <w:b w:val="0"/>
          <w:color w:val="000000"/>
          <w:sz w:val="32"/>
        </w:rPr>
        <w:t>智能制造资质方面，公司2025年获评省级智能工厂与省级先进级智能工厂，说明其在自动化控制、连续化生产、数字化管理方面达到省内领先水平。这在医药化工行业中具有重要意义：连续化与自动化不仅提升效率，更显著降低危险工艺的人员暴露风险，是安全监管趋严背景下的核心合规优势。</w:t>
      </w:r>
    </w:p>
    <w:p>
      <w:pPr>
        <w:spacing w:lineRule="exact" w:line="600" w:before="0" w:after="0"/>
        <w:ind w:firstLine="420"/>
        <w:jc w:val="both"/>
      </w:pPr>
      <w:r>
        <w:rPr>
          <w:rFonts w:ascii="仿宋_GB2312" w:hAnsi="仿宋_GB2312" w:eastAsia="仿宋_GB2312"/>
          <w:b w:val="0"/>
          <w:color w:val="000000"/>
          <w:sz w:val="32"/>
        </w:rPr>
        <w:t>知识产权方面，公司拥有44项专利，包括右旋苯乙磺酸D-对羟基苯甘氨酸复盐的合成方法、对叔丁基氧基苯乙基甲基醚的脱保护方法、对叔丁氧基氯苯的连续化合成方法等。其中"连续化合成"方向的专利体现了公司在流动化学与工艺强化领域的技术布局，符合医药化工绿色化、本质安全化的发展趋势。</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以直销为主，面向国内外制药企业签订年度供货协议或长期战略合作协议。医药中间体行业的销售具有强客户黏性特征：客户一旦完成供应商审计与工艺验证并将其写入药品注册文件，更换供应商需重新进行变更申报，切换成本极高，因此存量客户关系稳定。</w:t>
      </w:r>
    </w:p>
    <w:p>
      <w:pPr>
        <w:spacing w:lineRule="exact" w:line="600" w:before="0" w:after="0"/>
        <w:ind w:firstLine="420"/>
        <w:jc w:val="both"/>
      </w:pPr>
      <w:r>
        <w:rPr>
          <w:rFonts w:ascii="仿宋_GB2312" w:hAnsi="仿宋_GB2312" w:eastAsia="仿宋_GB2312"/>
          <w:b w:val="0"/>
          <w:color w:val="000000"/>
          <w:sz w:val="32"/>
        </w:rPr>
        <w:t>出口方面，公司持有进出口企业代码，可自营开展国际贸易。依托普洛药业的全球销售网络与在欧洲、北美、日本的市场布局，公司产品可进入规范市场。母公司在波士顿设有研发中心，有助于贴近欧美创新药客户。</w:t>
      </w:r>
    </w:p>
    <w:p>
      <w:pPr>
        <w:spacing w:lineRule="exact" w:line="600" w:before="0" w:after="0"/>
        <w:ind w:firstLine="420"/>
        <w:jc w:val="both"/>
      </w:pPr>
      <w:r>
        <w:rPr>
          <w:rFonts w:ascii="仿宋_GB2312" w:hAnsi="仿宋_GB2312" w:eastAsia="仿宋_GB2312"/>
          <w:b w:val="0"/>
          <w:color w:val="000000"/>
          <w:sz w:val="32"/>
        </w:rPr>
        <w:t>品牌方面，公司已统一纳入"普洛"品牌体系（公司名称变更为"山东普洛汉兴医药有限公司"，官网域名apeloahanxing.com），共享上市公司品牌信用与合规声誉，在国际客户审计中具有显著加分作用。</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公司2018年销售额11.49亿元，2019年营业收入14.5亿元并逐年增加。以2019年14.5亿元收入与约900名员工测算，人均创收约161万元，在医药化工制造业中属于较高水平，反映出较好的自动化程度与产品附加值。</w:t>
      </w:r>
    </w:p>
    <w:p>
      <w:pPr>
        <w:spacing w:lineRule="exact" w:line="600" w:before="0" w:after="0"/>
        <w:ind w:firstLine="420"/>
        <w:jc w:val="both"/>
      </w:pPr>
      <w:r>
        <w:rPr>
          <w:rFonts w:ascii="仿宋_GB2312" w:hAnsi="仿宋_GB2312" w:eastAsia="仿宋_GB2312"/>
          <w:b w:val="0"/>
          <w:color w:val="000000"/>
          <w:sz w:val="32"/>
        </w:rPr>
        <w:t>市场占有率方面，公司心血管类中间体产品占全国60%，是全球最大的供应商之一，在该细分品类中具有绝对领先地位。DL-对羟基苯甘氨酸等抗生素中间体亦具备国内领先的产能规模。这种"细分品类全球第一"的地位，是评估其信用与产业价值时最重要的正面因素。</w:t>
      </w:r>
    </w:p>
    <w:p>
      <w:pPr>
        <w:spacing w:lineRule="exact" w:line="600" w:before="0" w:after="0"/>
        <w:ind w:firstLine="420"/>
        <w:jc w:val="both"/>
      </w:pPr>
      <w:r>
        <w:rPr>
          <w:rFonts w:ascii="仿宋_GB2312" w:hAnsi="仿宋_GB2312" w:eastAsia="仿宋_GB2312"/>
          <w:b w:val="0"/>
          <w:color w:val="000000"/>
          <w:sz w:val="32"/>
        </w:rPr>
        <w:t>母公司层面的参照数据：普洛药业2024年原料药中间体业务实现销售收入86.51亿元，同比增长8.32%，15个产品月产量创历史新高，战略品种市场份额逐步提升，多个产品销量创历史新高，报告期内新增客户超过50家。母公司计划未来3至5年新增30至50个API的DMF注册，进一步巩固全球特色原料药领域的领先地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法人主体，其单体资产负债表、利润表与现金流量表未公开披露。公开可获取的经营数据仅有2018年销售额11.49亿元、2019年营业收入14.5亿元（来源为公司校园招聘公开资料），以及注册资本与实缴资本11100万元。本报告不对未披露的财务数据作任何推算或拟制。</w:t>
      </w:r>
    </w:p>
    <w:p>
      <w:pPr>
        <w:spacing w:lineRule="exact" w:line="600" w:before="0" w:after="0"/>
        <w:ind w:firstLine="420"/>
        <w:jc w:val="both"/>
      </w:pPr>
      <w:r>
        <w:rPr>
          <w:rFonts w:ascii="仿宋_GB2312" w:hAnsi="仿宋_GB2312" w:eastAsia="仿宋_GB2312"/>
          <w:b w:val="0"/>
          <w:color w:val="000000"/>
          <w:sz w:val="32"/>
        </w:rPr>
        <w:t>为评估公司所处集团的财务健康度与信用支撑能力，本部分采用控股股东普洛药业股份有限公司（000739.SZ）经审计的合并财务数据进行分析。</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948"/>
          </w:tcPr>
          <w:p>
            <w:pPr>
              <w:spacing w:lineRule="exact" w:line="600"/>
              <w:jc w:val="center"/>
            </w:pPr>
            <w:r/>
            <w:r>
              <w:rPr>
                <w:rFonts w:ascii="黑体" w:hAnsi="黑体" w:eastAsia="黑体"/>
                <w:b/>
                <w:color w:val="000000"/>
                <w:sz w:val="32"/>
              </w:rPr>
              <w:t>项目（普洛药业合并口径）</w:t>
            </w:r>
          </w:p>
        </w:tc>
        <w:tc>
          <w:tcPr>
            <w:tcW w:type="dxa" w:w="1928"/>
          </w:tcPr>
          <w:p>
            <w:pPr>
              <w:spacing w:lineRule="exact" w:line="600"/>
              <w:jc w:val="center"/>
            </w:pPr>
            <w:r/>
            <w:r>
              <w:rPr>
                <w:rFonts w:ascii="黑体" w:hAnsi="黑体" w:eastAsia="黑体"/>
                <w:b/>
                <w:color w:val="000000"/>
                <w:sz w:val="32"/>
              </w:rPr>
              <w:t>2023年</w:t>
            </w:r>
          </w:p>
        </w:tc>
        <w:tc>
          <w:tcPr>
            <w:tcW w:type="dxa" w:w="1928"/>
          </w:tcPr>
          <w:p>
            <w:pPr>
              <w:spacing w:lineRule="exact" w:line="600"/>
              <w:jc w:val="center"/>
            </w:pPr>
            <w:r/>
            <w:r>
              <w:rPr>
                <w:rFonts w:ascii="黑体" w:hAnsi="黑体" w:eastAsia="黑体"/>
                <w:b/>
                <w:color w:val="000000"/>
                <w:sz w:val="32"/>
              </w:rPr>
              <w:t>2024年</w:t>
            </w:r>
          </w:p>
        </w:tc>
        <w:tc>
          <w:tcPr>
            <w:tcW w:type="dxa" w:w="1984"/>
          </w:tcPr>
          <w:p>
            <w:pPr>
              <w:spacing w:lineRule="exact" w:line="600"/>
              <w:jc w:val="center"/>
            </w:pPr>
            <w:r/>
            <w:r>
              <w:rPr>
                <w:rFonts w:ascii="黑体" w:hAnsi="黑体" w:eastAsia="黑体"/>
                <w:b/>
                <w:color w:val="000000"/>
                <w:sz w:val="32"/>
              </w:rPr>
              <w:t>同比变动</w:t>
            </w:r>
          </w:p>
        </w:tc>
      </w:tr>
      <w:tr>
        <w:tc>
          <w:tcPr>
            <w:tcW w:type="dxa" w:w="2948"/>
          </w:tcPr>
          <w:p>
            <w:pPr>
              <w:spacing w:lineRule="exact" w:line="600"/>
              <w:jc w:val="center"/>
            </w:pPr>
            <w:r/>
            <w:r>
              <w:rPr>
                <w:rFonts w:ascii="仿宋_GB2312" w:hAnsi="仿宋_GB2312" w:eastAsia="仿宋_GB2312"/>
                <w:b w:val="0"/>
                <w:color w:val="000000"/>
                <w:sz w:val="32"/>
              </w:rPr>
              <w:t>营业收入（亿元）</w:t>
            </w:r>
          </w:p>
        </w:tc>
        <w:tc>
          <w:tcPr>
            <w:tcW w:type="dxa" w:w="1928"/>
          </w:tcPr>
          <w:p>
            <w:pPr>
              <w:spacing w:lineRule="exact" w:line="600"/>
              <w:jc w:val="center"/>
            </w:pPr>
            <w:r/>
            <w:r>
              <w:rPr>
                <w:rFonts w:ascii="仿宋_GB2312" w:hAnsi="仿宋_GB2312" w:eastAsia="仿宋_GB2312"/>
                <w:b w:val="0"/>
                <w:color w:val="000000"/>
                <w:sz w:val="32"/>
              </w:rPr>
              <w:t>114.74</w:t>
            </w:r>
          </w:p>
        </w:tc>
        <w:tc>
          <w:tcPr>
            <w:tcW w:type="dxa" w:w="1928"/>
          </w:tcPr>
          <w:p>
            <w:pPr>
              <w:spacing w:lineRule="exact" w:line="600"/>
              <w:jc w:val="center"/>
            </w:pPr>
            <w:r/>
            <w:r>
              <w:rPr>
                <w:rFonts w:ascii="仿宋_GB2312" w:hAnsi="仿宋_GB2312" w:eastAsia="仿宋_GB2312"/>
                <w:b w:val="0"/>
                <w:color w:val="000000"/>
                <w:sz w:val="32"/>
              </w:rPr>
              <w:t>120.22</w:t>
            </w:r>
          </w:p>
        </w:tc>
        <w:tc>
          <w:tcPr>
            <w:tcW w:type="dxa" w:w="1984"/>
          </w:tcPr>
          <w:p>
            <w:pPr>
              <w:spacing w:lineRule="exact" w:line="600"/>
              <w:jc w:val="center"/>
            </w:pPr>
            <w:r/>
            <w:r>
              <w:rPr>
                <w:rFonts w:ascii="仿宋_GB2312" w:hAnsi="仿宋_GB2312" w:eastAsia="仿宋_GB2312"/>
                <w:b w:val="0"/>
                <w:color w:val="000000"/>
                <w:sz w:val="32"/>
              </w:rPr>
              <w:t>+4.77%</w:t>
            </w:r>
          </w:p>
        </w:tc>
      </w:tr>
      <w:tr>
        <w:tc>
          <w:tcPr>
            <w:tcW w:type="dxa" w:w="2948"/>
          </w:tcPr>
          <w:p>
            <w:pPr>
              <w:spacing w:lineRule="exact" w:line="600"/>
              <w:jc w:val="center"/>
            </w:pPr>
            <w:r/>
            <w:r>
              <w:rPr>
                <w:rFonts w:ascii="仿宋_GB2312" w:hAnsi="仿宋_GB2312" w:eastAsia="仿宋_GB2312"/>
                <w:b w:val="0"/>
                <w:color w:val="000000"/>
                <w:sz w:val="32"/>
              </w:rPr>
              <w:t>营业利润（亿元）</w:t>
            </w:r>
          </w:p>
        </w:tc>
        <w:tc>
          <w:tcPr>
            <w:tcW w:type="dxa" w:w="1928"/>
          </w:tcPr>
          <w:p>
            <w:pPr>
              <w:spacing w:lineRule="exact" w:line="600"/>
              <w:jc w:val="center"/>
            </w:pPr>
            <w:r/>
            <w:r>
              <w:rPr>
                <w:rFonts w:ascii="仿宋_GB2312" w:hAnsi="仿宋_GB2312" w:eastAsia="仿宋_GB2312"/>
                <w:b w:val="0"/>
                <w:color w:val="000000"/>
                <w:sz w:val="32"/>
              </w:rPr>
              <w:t>12.20</w:t>
            </w:r>
          </w:p>
        </w:tc>
        <w:tc>
          <w:tcPr>
            <w:tcW w:type="dxa" w:w="1928"/>
          </w:tcPr>
          <w:p>
            <w:pPr>
              <w:spacing w:lineRule="exact" w:line="600"/>
              <w:jc w:val="center"/>
            </w:pPr>
            <w:r/>
            <w:r>
              <w:rPr>
                <w:rFonts w:ascii="仿宋_GB2312" w:hAnsi="仿宋_GB2312" w:eastAsia="仿宋_GB2312"/>
                <w:b w:val="0"/>
                <w:color w:val="000000"/>
                <w:sz w:val="32"/>
              </w:rPr>
              <w:t>12.12</w:t>
            </w:r>
          </w:p>
        </w:tc>
        <w:tc>
          <w:tcPr>
            <w:tcW w:type="dxa" w:w="1984"/>
          </w:tcPr>
          <w:p>
            <w:pPr>
              <w:spacing w:lineRule="exact" w:line="600"/>
              <w:jc w:val="center"/>
            </w:pPr>
            <w:r/>
            <w:r>
              <w:rPr>
                <w:rFonts w:ascii="仿宋_GB2312" w:hAnsi="仿宋_GB2312" w:eastAsia="仿宋_GB2312"/>
                <w:b w:val="0"/>
                <w:color w:val="000000"/>
                <w:sz w:val="32"/>
              </w:rPr>
              <w:t>-0.66%</w:t>
            </w:r>
          </w:p>
        </w:tc>
      </w:tr>
      <w:tr>
        <w:tc>
          <w:tcPr>
            <w:tcW w:type="dxa" w:w="2948"/>
          </w:tcPr>
          <w:p>
            <w:pPr>
              <w:spacing w:lineRule="exact" w:line="600"/>
              <w:jc w:val="center"/>
            </w:pPr>
            <w:r/>
            <w:r>
              <w:rPr>
                <w:rFonts w:ascii="仿宋_GB2312" w:hAnsi="仿宋_GB2312" w:eastAsia="仿宋_GB2312"/>
                <w:b w:val="0"/>
                <w:color w:val="000000"/>
                <w:sz w:val="32"/>
              </w:rPr>
              <w:t>归母净利润（亿元）</w:t>
            </w:r>
          </w:p>
        </w:tc>
        <w:tc>
          <w:tcPr>
            <w:tcW w:type="dxa" w:w="1928"/>
          </w:tcPr>
          <w:p>
            <w:pPr>
              <w:spacing w:lineRule="exact" w:line="600"/>
              <w:jc w:val="center"/>
            </w:pPr>
            <w:r/>
            <w:r>
              <w:rPr>
                <w:rFonts w:ascii="仿宋_GB2312" w:hAnsi="仿宋_GB2312" w:eastAsia="仿宋_GB2312"/>
                <w:b w:val="0"/>
                <w:color w:val="000000"/>
                <w:sz w:val="32"/>
              </w:rPr>
              <w:t>10.55</w:t>
            </w:r>
          </w:p>
        </w:tc>
        <w:tc>
          <w:tcPr>
            <w:tcW w:type="dxa" w:w="1928"/>
          </w:tcPr>
          <w:p>
            <w:pPr>
              <w:spacing w:lineRule="exact" w:line="600"/>
              <w:jc w:val="center"/>
            </w:pPr>
            <w:r/>
            <w:r>
              <w:rPr>
                <w:rFonts w:ascii="仿宋_GB2312" w:hAnsi="仿宋_GB2312" w:eastAsia="仿宋_GB2312"/>
                <w:b w:val="0"/>
                <w:color w:val="000000"/>
                <w:sz w:val="32"/>
              </w:rPr>
              <w:t>10.31</w:t>
            </w:r>
          </w:p>
        </w:tc>
        <w:tc>
          <w:tcPr>
            <w:tcW w:type="dxa" w:w="1984"/>
          </w:tcPr>
          <w:p>
            <w:pPr>
              <w:spacing w:lineRule="exact" w:line="600"/>
              <w:jc w:val="center"/>
            </w:pPr>
            <w:r/>
            <w:r>
              <w:rPr>
                <w:rFonts w:ascii="仿宋_GB2312" w:hAnsi="仿宋_GB2312" w:eastAsia="仿宋_GB2312"/>
                <w:b w:val="0"/>
                <w:color w:val="000000"/>
                <w:sz w:val="32"/>
              </w:rPr>
              <w:t>-2.29%</w:t>
            </w:r>
          </w:p>
        </w:tc>
      </w:tr>
      <w:tr>
        <w:tc>
          <w:tcPr>
            <w:tcW w:type="dxa" w:w="2948"/>
          </w:tcPr>
          <w:p>
            <w:pPr>
              <w:spacing w:lineRule="exact" w:line="600"/>
              <w:jc w:val="center"/>
            </w:pPr>
            <w:r/>
            <w:r>
              <w:rPr>
                <w:rFonts w:ascii="仿宋_GB2312" w:hAnsi="仿宋_GB2312" w:eastAsia="仿宋_GB2312"/>
                <w:b w:val="0"/>
                <w:color w:val="000000"/>
                <w:sz w:val="32"/>
              </w:rPr>
              <w:t>每股收益（元）</w:t>
            </w:r>
          </w:p>
        </w:tc>
        <w:tc>
          <w:tcPr>
            <w:tcW w:type="dxa" w:w="1928"/>
          </w:tcPr>
          <w:p>
            <w:pPr>
              <w:spacing w:lineRule="exact" w:line="600"/>
              <w:jc w:val="center"/>
            </w:pPr>
            <w:r/>
            <w:r>
              <w:rPr>
                <w:rFonts w:ascii="仿宋_GB2312" w:hAnsi="仿宋_GB2312" w:eastAsia="仿宋_GB2312"/>
                <w:b w:val="0"/>
                <w:color w:val="000000"/>
                <w:sz w:val="32"/>
              </w:rPr>
              <w:t>0.9025</w:t>
            </w:r>
          </w:p>
        </w:tc>
        <w:tc>
          <w:tcPr>
            <w:tcW w:type="dxa" w:w="1928"/>
          </w:tcPr>
          <w:p>
            <w:pPr>
              <w:spacing w:lineRule="exact" w:line="600"/>
              <w:jc w:val="center"/>
            </w:pPr>
            <w:r/>
            <w:r>
              <w:rPr>
                <w:rFonts w:ascii="仿宋_GB2312" w:hAnsi="仿宋_GB2312" w:eastAsia="仿宋_GB2312"/>
                <w:b w:val="0"/>
                <w:color w:val="000000"/>
                <w:sz w:val="32"/>
              </w:rPr>
              <w:t>0.8864</w:t>
            </w:r>
          </w:p>
        </w:tc>
        <w:tc>
          <w:tcPr>
            <w:tcW w:type="dxa" w:w="1984"/>
          </w:tcPr>
          <w:p>
            <w:pPr>
              <w:spacing w:lineRule="exact" w:line="600"/>
              <w:jc w:val="center"/>
            </w:pPr>
            <w:r/>
            <w:r>
              <w:rPr>
                <w:rFonts w:ascii="仿宋_GB2312" w:hAnsi="仿宋_GB2312" w:eastAsia="仿宋_GB2312"/>
                <w:b w:val="0"/>
                <w:color w:val="000000"/>
                <w:sz w:val="32"/>
              </w:rPr>
              <w:t>-1.78%</w:t>
            </w:r>
          </w:p>
        </w:tc>
      </w:tr>
      <w:tr>
        <w:tc>
          <w:tcPr>
            <w:tcW w:type="dxa" w:w="2948"/>
          </w:tcPr>
          <w:p>
            <w:pPr>
              <w:spacing w:lineRule="exact" w:line="600"/>
              <w:jc w:val="center"/>
            </w:pPr>
            <w:r/>
            <w:r>
              <w:rPr>
                <w:rFonts w:ascii="仿宋_GB2312" w:hAnsi="仿宋_GB2312" w:eastAsia="仿宋_GB2312"/>
                <w:b w:val="0"/>
                <w:color w:val="000000"/>
                <w:sz w:val="32"/>
              </w:rPr>
              <w:t>总资产（亿元）</w:t>
            </w:r>
          </w:p>
        </w:tc>
        <w:tc>
          <w:tcPr>
            <w:tcW w:type="dxa" w:w="1928"/>
          </w:tcPr>
          <w:p>
            <w:pPr>
              <w:spacing w:lineRule="exact" w:line="600"/>
              <w:jc w:val="center"/>
            </w:pPr>
            <w:r/>
            <w:r>
              <w:rPr>
                <w:rFonts w:ascii="仿宋_GB2312" w:hAnsi="仿宋_GB2312" w:eastAsia="仿宋_GB2312"/>
                <w:b w:val="0"/>
                <w:color w:val="000000"/>
                <w:sz w:val="32"/>
              </w:rPr>
              <w:t>127.68</w:t>
            </w:r>
          </w:p>
        </w:tc>
        <w:tc>
          <w:tcPr>
            <w:tcW w:type="dxa" w:w="1928"/>
          </w:tcPr>
          <w:p>
            <w:pPr>
              <w:spacing w:lineRule="exact" w:line="600"/>
              <w:jc w:val="center"/>
            </w:pPr>
            <w:r/>
            <w:r>
              <w:rPr>
                <w:rFonts w:ascii="仿宋_GB2312" w:hAnsi="仿宋_GB2312" w:eastAsia="仿宋_GB2312"/>
                <w:b w:val="0"/>
                <w:color w:val="000000"/>
                <w:sz w:val="32"/>
              </w:rPr>
              <w:t>127.29</w:t>
            </w:r>
          </w:p>
        </w:tc>
        <w:tc>
          <w:tcPr>
            <w:tcW w:type="dxa" w:w="1984"/>
          </w:tcPr>
          <w:p>
            <w:pPr>
              <w:spacing w:lineRule="exact" w:line="600"/>
              <w:jc w:val="center"/>
            </w:pPr>
            <w:r/>
            <w:r>
              <w:rPr>
                <w:rFonts w:ascii="仿宋_GB2312" w:hAnsi="仿宋_GB2312" w:eastAsia="仿宋_GB2312"/>
                <w:b w:val="0"/>
                <w:color w:val="000000"/>
                <w:sz w:val="32"/>
              </w:rPr>
              <w:t>-0.30%</w:t>
            </w:r>
          </w:p>
        </w:tc>
      </w:tr>
      <w:tr>
        <w:tc>
          <w:tcPr>
            <w:tcW w:type="dxa" w:w="2948"/>
          </w:tcPr>
          <w:p>
            <w:pPr>
              <w:spacing w:lineRule="exact" w:line="600"/>
              <w:jc w:val="center"/>
            </w:pPr>
            <w:r/>
            <w:r>
              <w:rPr>
                <w:rFonts w:ascii="仿宋_GB2312" w:hAnsi="仿宋_GB2312" w:eastAsia="仿宋_GB2312"/>
                <w:b w:val="0"/>
                <w:color w:val="000000"/>
                <w:sz w:val="32"/>
              </w:rPr>
              <w:t>总负债（亿元）</w:t>
            </w:r>
          </w:p>
        </w:tc>
        <w:tc>
          <w:tcPr>
            <w:tcW w:type="dxa" w:w="1928"/>
          </w:tcPr>
          <w:p>
            <w:pPr>
              <w:spacing w:lineRule="exact" w:line="600"/>
              <w:jc w:val="center"/>
            </w:pPr>
            <w:r/>
            <w:r>
              <w:rPr>
                <w:rFonts w:ascii="仿宋_GB2312" w:hAnsi="仿宋_GB2312" w:eastAsia="仿宋_GB2312"/>
                <w:b w:val="0"/>
                <w:color w:val="000000"/>
                <w:sz w:val="32"/>
              </w:rPr>
              <w:t>65.37</w:t>
            </w:r>
          </w:p>
        </w:tc>
        <w:tc>
          <w:tcPr>
            <w:tcW w:type="dxa" w:w="1928"/>
          </w:tcPr>
          <w:p>
            <w:pPr>
              <w:spacing w:lineRule="exact" w:line="600"/>
              <w:jc w:val="center"/>
            </w:pPr>
            <w:r/>
            <w:r>
              <w:rPr>
                <w:rFonts w:ascii="仿宋_GB2312" w:hAnsi="仿宋_GB2312" w:eastAsia="仿宋_GB2312"/>
                <w:b w:val="0"/>
                <w:color w:val="000000"/>
                <w:sz w:val="32"/>
              </w:rPr>
              <w:t>59.79</w:t>
            </w:r>
          </w:p>
        </w:tc>
        <w:tc>
          <w:tcPr>
            <w:tcW w:type="dxa" w:w="1984"/>
          </w:tcPr>
          <w:p>
            <w:pPr>
              <w:spacing w:lineRule="exact" w:line="600"/>
              <w:jc w:val="center"/>
            </w:pPr>
            <w:r/>
            <w:r>
              <w:rPr>
                <w:rFonts w:ascii="仿宋_GB2312" w:hAnsi="仿宋_GB2312" w:eastAsia="仿宋_GB2312"/>
                <w:b w:val="0"/>
                <w:color w:val="000000"/>
                <w:sz w:val="32"/>
              </w:rPr>
              <w:t>-8.54%</w:t>
            </w:r>
          </w:p>
        </w:tc>
      </w:tr>
      <w:tr>
        <w:tc>
          <w:tcPr>
            <w:tcW w:type="dxa" w:w="2948"/>
          </w:tcPr>
          <w:p>
            <w:pPr>
              <w:spacing w:lineRule="exact" w:line="600"/>
              <w:jc w:val="center"/>
            </w:pPr>
            <w:r/>
            <w:r>
              <w:rPr>
                <w:rFonts w:ascii="仿宋_GB2312" w:hAnsi="仿宋_GB2312" w:eastAsia="仿宋_GB2312"/>
                <w:b w:val="0"/>
                <w:color w:val="000000"/>
                <w:sz w:val="32"/>
              </w:rPr>
              <w:t>归母所有者权益（亿元）</w:t>
            </w:r>
          </w:p>
        </w:tc>
        <w:tc>
          <w:tcPr>
            <w:tcW w:type="dxa" w:w="1928"/>
          </w:tcPr>
          <w:p>
            <w:pPr>
              <w:spacing w:lineRule="exact" w:line="600"/>
              <w:jc w:val="center"/>
            </w:pPr>
            <w:r/>
            <w:r>
              <w:rPr>
                <w:rFonts w:ascii="仿宋_GB2312" w:hAnsi="仿宋_GB2312" w:eastAsia="仿宋_GB2312"/>
                <w:b w:val="0"/>
                <w:color w:val="000000"/>
                <w:sz w:val="32"/>
              </w:rPr>
              <w:t>62.23</w:t>
            </w:r>
          </w:p>
        </w:tc>
        <w:tc>
          <w:tcPr>
            <w:tcW w:type="dxa" w:w="1928"/>
          </w:tcPr>
          <w:p>
            <w:pPr>
              <w:spacing w:lineRule="exact" w:line="600"/>
              <w:jc w:val="center"/>
            </w:pPr>
            <w:r/>
            <w:r>
              <w:rPr>
                <w:rFonts w:ascii="仿宋_GB2312" w:hAnsi="仿宋_GB2312" w:eastAsia="仿宋_GB2312"/>
                <w:b w:val="0"/>
                <w:color w:val="000000"/>
                <w:sz w:val="32"/>
              </w:rPr>
              <w:t>67.42</w:t>
            </w:r>
          </w:p>
        </w:tc>
        <w:tc>
          <w:tcPr>
            <w:tcW w:type="dxa" w:w="1984"/>
          </w:tcPr>
          <w:p>
            <w:pPr>
              <w:spacing w:lineRule="exact" w:line="600"/>
              <w:jc w:val="center"/>
            </w:pPr>
            <w:r/>
            <w:r>
              <w:rPr>
                <w:rFonts w:ascii="仿宋_GB2312" w:hAnsi="仿宋_GB2312" w:eastAsia="仿宋_GB2312"/>
                <w:b w:val="0"/>
                <w:color w:val="000000"/>
                <w:sz w:val="32"/>
              </w:rPr>
              <w:t>+8.34%</w:t>
            </w:r>
          </w:p>
        </w:tc>
      </w:tr>
      <w:tr>
        <w:tc>
          <w:tcPr>
            <w:tcW w:type="dxa" w:w="2948"/>
          </w:tcPr>
          <w:p>
            <w:pPr>
              <w:spacing w:lineRule="exact" w:line="600"/>
              <w:jc w:val="center"/>
            </w:pPr>
            <w:r/>
            <w:r>
              <w:rPr>
                <w:rFonts w:ascii="仿宋_GB2312" w:hAnsi="仿宋_GB2312" w:eastAsia="仿宋_GB2312"/>
                <w:b w:val="0"/>
                <w:color w:val="000000"/>
                <w:sz w:val="32"/>
              </w:rPr>
              <w:t>资产负债率（%）</w:t>
            </w:r>
          </w:p>
        </w:tc>
        <w:tc>
          <w:tcPr>
            <w:tcW w:type="dxa" w:w="1928"/>
          </w:tcPr>
          <w:p>
            <w:pPr>
              <w:spacing w:lineRule="exact" w:line="600"/>
              <w:jc w:val="center"/>
            </w:pPr>
            <w:r/>
            <w:r>
              <w:rPr>
                <w:rFonts w:ascii="仿宋_GB2312" w:hAnsi="仿宋_GB2312" w:eastAsia="仿宋_GB2312"/>
                <w:b w:val="0"/>
                <w:color w:val="000000"/>
                <w:sz w:val="32"/>
              </w:rPr>
              <w:t>51.20</w:t>
            </w:r>
          </w:p>
        </w:tc>
        <w:tc>
          <w:tcPr>
            <w:tcW w:type="dxa" w:w="1928"/>
          </w:tcPr>
          <w:p>
            <w:pPr>
              <w:spacing w:lineRule="exact" w:line="600"/>
              <w:jc w:val="center"/>
            </w:pPr>
            <w:r/>
            <w:r>
              <w:rPr>
                <w:rFonts w:ascii="仿宋_GB2312" w:hAnsi="仿宋_GB2312" w:eastAsia="仿宋_GB2312"/>
                <w:b w:val="0"/>
                <w:color w:val="000000"/>
                <w:sz w:val="32"/>
              </w:rPr>
              <w:t>46.97</w:t>
            </w:r>
          </w:p>
        </w:tc>
        <w:tc>
          <w:tcPr>
            <w:tcW w:type="dxa" w:w="1984"/>
          </w:tcPr>
          <w:p>
            <w:pPr>
              <w:spacing w:lineRule="exact" w:line="600"/>
              <w:jc w:val="center"/>
            </w:pPr>
            <w:r/>
            <w:r>
              <w:rPr>
                <w:rFonts w:ascii="仿宋_GB2312" w:hAnsi="仿宋_GB2312" w:eastAsia="仿宋_GB2312"/>
                <w:b w:val="0"/>
                <w:color w:val="000000"/>
                <w:sz w:val="32"/>
              </w:rPr>
              <w:t>-4.23pct</w:t>
            </w:r>
          </w:p>
        </w:tc>
      </w:tr>
      <w:tr>
        <w:tc>
          <w:tcPr>
            <w:tcW w:type="dxa" w:w="2948"/>
          </w:tcPr>
          <w:p>
            <w:pPr>
              <w:spacing w:lineRule="exact" w:line="600"/>
              <w:jc w:val="center"/>
            </w:pPr>
            <w:r/>
            <w:r>
              <w:rPr>
                <w:rFonts w:ascii="仿宋_GB2312" w:hAnsi="仿宋_GB2312" w:eastAsia="仿宋_GB2312"/>
                <w:b w:val="0"/>
                <w:color w:val="000000"/>
                <w:sz w:val="32"/>
              </w:rPr>
              <w:t>经营现金流净额（亿元）</w:t>
            </w:r>
          </w:p>
        </w:tc>
        <w:tc>
          <w:tcPr>
            <w:tcW w:type="dxa" w:w="1928"/>
          </w:tcPr>
          <w:p>
            <w:pPr>
              <w:spacing w:lineRule="exact" w:line="600"/>
              <w:jc w:val="center"/>
            </w:pPr>
            <w:r/>
            <w:r>
              <w:rPr>
                <w:rFonts w:ascii="仿宋_GB2312" w:hAnsi="仿宋_GB2312" w:eastAsia="仿宋_GB2312"/>
                <w:b w:val="0"/>
                <w:color w:val="000000"/>
                <w:sz w:val="32"/>
              </w:rPr>
              <w:t>10.31</w:t>
            </w:r>
          </w:p>
        </w:tc>
        <w:tc>
          <w:tcPr>
            <w:tcW w:type="dxa" w:w="1928"/>
          </w:tcPr>
          <w:p>
            <w:pPr>
              <w:spacing w:lineRule="exact" w:line="600"/>
              <w:jc w:val="center"/>
            </w:pPr>
            <w:r/>
            <w:r>
              <w:rPr>
                <w:rFonts w:ascii="仿宋_GB2312" w:hAnsi="仿宋_GB2312" w:eastAsia="仿宋_GB2312"/>
                <w:b w:val="0"/>
                <w:color w:val="000000"/>
                <w:sz w:val="32"/>
              </w:rPr>
              <w:t>12.09</w:t>
            </w:r>
          </w:p>
        </w:tc>
        <w:tc>
          <w:tcPr>
            <w:tcW w:type="dxa" w:w="1984"/>
          </w:tcPr>
          <w:p>
            <w:pPr>
              <w:spacing w:lineRule="exact" w:line="600"/>
              <w:jc w:val="center"/>
            </w:pPr>
            <w:r/>
            <w:r>
              <w:rPr>
                <w:rFonts w:ascii="仿宋_GB2312" w:hAnsi="仿宋_GB2312" w:eastAsia="仿宋_GB2312"/>
                <w:b w:val="0"/>
                <w:color w:val="000000"/>
                <w:sz w:val="32"/>
              </w:rPr>
              <w:t>+17.20%</w:t>
            </w:r>
          </w:p>
        </w:tc>
      </w:tr>
    </w:tbl>
    <w:p>
      <w:pPr>
        <w:spacing w:lineRule="exact" w:line="600" w:before="0" w:after="0"/>
        <w:ind w:firstLine="420"/>
        <w:jc w:val="both"/>
      </w:pPr>
      <w:r>
        <w:rPr>
          <w:rFonts w:ascii="仿宋_GB2312" w:hAnsi="仿宋_GB2312" w:eastAsia="仿宋_GB2312"/>
          <w:b w:val="0"/>
          <w:color w:val="000000"/>
          <w:sz w:val="32"/>
        </w:rPr>
        <w:t>公司单体财务数据未公开披露，如需精确评估，建议通过尽职调查获取其经审计的年度财务报表、银行流水、纳税证明与主要客户对账单。</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从母公司口径看，普洛药业2024年销售毛利率23.85%，销售净利率8.57%，毛销差18.52%，加权平均净资产收益率16.09%，资产回报率8.09%，盈利能力稳健且质量良好。分板块看，原料药中间体毛利率14.97%（同比下降2.59个百分点）、CDMO毛利率41.06%、药品毛利率60.81%（同比提升7.67个百分点）。</w:t>
      </w:r>
    </w:p>
    <w:p>
      <w:pPr>
        <w:spacing w:lineRule="exact" w:line="600" w:before="0" w:after="0"/>
        <w:ind w:firstLine="420"/>
        <w:jc w:val="both"/>
      </w:pPr>
      <w:r>
        <w:rPr>
          <w:rFonts w:ascii="仿宋_GB2312" w:hAnsi="仿宋_GB2312" w:eastAsia="仿宋_GB2312"/>
          <w:b w:val="0"/>
          <w:color w:val="000000"/>
          <w:sz w:val="32"/>
        </w:rPr>
        <w:t>汉兴医药主要归属于原料药中间体板块，该板块毛利率约15%，低于集团平均水平，符合中间体业务的行业特征——大宗中间体产品价格竞争激烈、毛利率相对较薄，但周转快、规模大。公司的差异化优势在于心血管类中间体占全国60%的份额，该类高技术壁垒产品的毛利率通常显著高于大宗抗生素中间体，因此公司实际盈利水平可能优于板块平均。</w:t>
      </w:r>
    </w:p>
    <w:p>
      <w:pPr>
        <w:spacing w:lineRule="exact" w:line="600" w:before="0" w:after="0"/>
        <w:ind w:firstLine="420"/>
        <w:jc w:val="both"/>
      </w:pPr>
      <w:r>
        <w:rPr>
          <w:rFonts w:ascii="仿宋_GB2312" w:hAnsi="仿宋_GB2312" w:eastAsia="仿宋_GB2312"/>
          <w:b w:val="0"/>
          <w:color w:val="000000"/>
          <w:sz w:val="32"/>
        </w:rPr>
        <w:t>需关注的风险点是原料药中间体板块毛利率2024年同比下降2.59个百分点，反映市场价格竞争加剧与成本上升的双重挤压。母公司通过工艺改进、产能升级与降本增效措施对冲，2024年该板块收入仍实现8.32%的增长，15个产品月产量创历史新高。</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母公司普洛药业2024年末总资产127.29亿元（同比-0.30%），流动资产81.87亿元（同比-2.17%，主要系存货减少）；应收账款周转率6.95次、存货周转率4.64次、总资产周转率0.94次、流动资产周转率1.45次，各项周转指标健康，资产运营效率良好。</w:t>
      </w:r>
    </w:p>
    <w:p>
      <w:pPr>
        <w:spacing w:lineRule="exact" w:line="600" w:before="0" w:after="0"/>
        <w:ind w:firstLine="420"/>
        <w:jc w:val="both"/>
      </w:pPr>
      <w:r>
        <w:rPr>
          <w:rFonts w:ascii="仿宋_GB2312" w:hAnsi="仿宋_GB2312" w:eastAsia="仿宋_GB2312"/>
          <w:b w:val="0"/>
          <w:color w:val="000000"/>
          <w:sz w:val="32"/>
        </w:rPr>
        <w:t>公司自身作为生产基地，资产以厂房、合成装置、公用工程、储罐区与土地使用权为主，属于中等偏重的资产结构。实缴资本11100万元全额到位，权益基础扎实。公司持有昌邑华普医药科技有限公司49%股权（认缴2894.5万元），构成长期股权投资。</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母公司普洛药业2024年末总负债59.79亿元（同比-8.54%，主要系应付票据及应付账款减少），流动负债57.43亿元（同比-8.96%）；资产负债率46.97%，较上年末的51.20%下降4.23个百分点，负债水平持续优化且处于安全区间。流动比率1.43、速动比率1.10、现金比率69.32%，短期偿债能力充裕。有息负债9.45亿元，有息负债率仅15.81%，债务结构以经营性负债为主，财务风险低。</w:t>
      </w:r>
    </w:p>
    <w:p>
      <w:pPr>
        <w:spacing w:lineRule="exact" w:line="600" w:before="0" w:after="0"/>
        <w:ind w:firstLine="420"/>
        <w:jc w:val="both"/>
      </w:pPr>
      <w:r>
        <w:rPr>
          <w:rFonts w:ascii="仿宋_GB2312" w:hAnsi="仿宋_GB2312" w:eastAsia="仿宋_GB2312"/>
          <w:b w:val="0"/>
          <w:color w:val="000000"/>
          <w:sz w:val="32"/>
        </w:rPr>
        <w:t>公司自身的资产负债情况未公开披露。公开信息显示普洛药业曾发布《关于对下属公司担保的进展公告》，涉及对下属公司的连带责任保证担保，说明上市公司会为子公司融资提供增信支持，这是评估公司偿债能力时的重要正面因素。</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母公司普洛药业2024年经营活动产生的现金流量净额12.09亿元，同比增长17.20%，主要系销售商品、提供劳务收到的现金同比增加；净利润现金含量117.26%，说明利润的现金实现程度高、盈利质量优良。投资活动现金流净额-3.98亿元（同比改善41.19%，系资本开支减少）；筹资活动现金流净额-5.82亿元（同比下降93.10%，系库存股回购支出及借款净额减少）；现金及现金等价物净增加额2.67亿元，同比增长231.32%。自由现金流量8.33亿元。</w:t>
      </w:r>
    </w:p>
    <w:p>
      <w:pPr>
        <w:spacing w:lineRule="exact" w:line="600" w:before="0" w:after="0"/>
        <w:ind w:firstLine="420"/>
        <w:jc w:val="both"/>
      </w:pPr>
      <w:r>
        <w:rPr>
          <w:rFonts w:ascii="仿宋_GB2312" w:hAnsi="仿宋_GB2312" w:eastAsia="仿宋_GB2312"/>
          <w:b w:val="0"/>
          <w:color w:val="000000"/>
          <w:sz w:val="32"/>
        </w:rPr>
        <w:t>上述数据表明母公司现金创造能力强、资本开支节制、主动降杠杆并回馈股东（2024年度拟每10股派发现金红利3.56元）。作为其全资控股的生产基地，公司在资金调度、母公司借款与担保支持方面具备良好条件。</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园区企业对标：公司所属集团普洛药业2024年资产负债率46.97%、净利率8.57%、经营现金流12.09亿元，财务稳健性显著优于亚星化学（资产负债率76.87%、净利率-10.85%）；与海天生物所属的金晶科技（2024年归母净利润0.60亿元）相比，普洛药业10.31亿元的归母净利润规模亦高出一个数量级。在昌邑下营化工产业园四条产业链链主中，新医药产业链的财务质量最优。</w:t>
      </w:r>
    </w:p>
    <w:p>
      <w:pPr>
        <w:spacing w:lineRule="exact" w:line="600" w:before="0" w:after="0"/>
        <w:ind w:firstLine="420"/>
        <w:jc w:val="both"/>
      </w:pPr>
      <w:r>
        <w:rPr>
          <w:rFonts w:ascii="仿宋_GB2312" w:hAnsi="仿宋_GB2312" w:eastAsia="仿宋_GB2312"/>
          <w:b w:val="0"/>
          <w:color w:val="000000"/>
          <w:sz w:val="32"/>
        </w:rPr>
        <w:t>与医药中间体行业同类企业对标，公司心血管类中间体占全国60%的市场份额属于绝对领先。母公司普洛药业营业收入与研发费用已实现七年连续增长，2024年研发费用6.41亿元（同比增长2.66%），创历史新高，持续的研发投入为中间体业务的品种更新与工艺升级提供了保障。</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港澳台投资、非独资），股东为普洛香港有限公司（50.4505%）与普洛药业股份有限公司（49.5495%），最终受益股份100%归属于普洛药业。公司治理纳入A股上市公司普洛药业的规范化治理体系，在关联交易、对外担保、重大投资、财务核算与信息披露方面须遵循中国证监会与深圳证券交易所的监管要求。</w:t>
      </w:r>
    </w:p>
    <w:p>
      <w:pPr>
        <w:spacing w:lineRule="exact" w:line="600" w:before="0" w:after="0"/>
        <w:ind w:firstLine="420"/>
        <w:jc w:val="both"/>
      </w:pPr>
      <w:r>
        <w:rPr>
          <w:rFonts w:ascii="仿宋_GB2312" w:hAnsi="仿宋_GB2312" w:eastAsia="仿宋_GB2312"/>
          <w:b w:val="0"/>
          <w:color w:val="000000"/>
          <w:sz w:val="32"/>
        </w:rPr>
        <w:t>公司设董事会与监事会。董事长徐新良、总经理兼法定代表人王维，董事包括陈志国、朱建军、祝方猛、王力，监事包括陈科献、张进辉、杜少惠，主要人员共9名。2024年8月公司完成章程备案并采用2024年新章程；2025年9月完成高级管理人员备案变更，治理程序运行规范。</w:t>
      </w:r>
    </w:p>
    <w:p>
      <w:pPr>
        <w:spacing w:lineRule="exact" w:line="600" w:before="0" w:after="0"/>
        <w:ind w:firstLine="420"/>
        <w:jc w:val="both"/>
      </w:pPr>
      <w:r>
        <w:rPr>
          <w:rFonts w:ascii="仿宋_GB2312" w:hAnsi="仿宋_GB2312" w:eastAsia="仿宋_GB2312"/>
          <w:b w:val="0"/>
          <w:color w:val="000000"/>
          <w:sz w:val="32"/>
        </w:rPr>
        <w:t>需说明的是，公司为民营上市公司控股的外商投资企业，不属于国有企业，因此不适用国资监管层级、"三重一大"集体决策等国有企业特有的治理要求。其决策效率与市场化激励机制相对灵活，同时受上市公司内控体系约束。</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董事长徐新良关联企业14家，总经理王维关联企业2家且为多项核心专利的发明人（如对叔丁氧基氯苯的连续化合成方法、对叔丁氧基苯乙基甲基醚的脱保护方法等），显示公司总经理兼具技术背景与经营职能，是典型的技术型管理者。董事陈志国、朱建军、杜少惠等关联企业数量众多（分别为175家、187家、183家），系普洛药业与横店集团体系内的职业管理人员，体现集团对子公司的派驻式管理。</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医药化工企业，内控体系围绕质量与安全两条主线构建。质量方面执行GMP与ISO9001要求，接受国内外客户的现场审计与药监部门检查；安全方面作为危险化学品生产企业，须执行安全生产标准化、双重预防机制、重点监管危险工艺自动化控制等要求。公司持有危险化学品登记证，通过ISO14001与ISO45001认证。</w:t>
      </w:r>
    </w:p>
    <w:p>
      <w:pPr>
        <w:spacing w:lineRule="exact" w:line="600" w:before="0" w:after="0"/>
        <w:ind w:firstLine="420"/>
        <w:jc w:val="both"/>
      </w:pPr>
      <w:r>
        <w:rPr>
          <w:rFonts w:ascii="仿宋_GB2312" w:hAnsi="仿宋_GB2312" w:eastAsia="仿宋_GB2312"/>
          <w:b w:val="0"/>
          <w:color w:val="000000"/>
          <w:sz w:val="32"/>
        </w:rPr>
        <w:t>公司2025年获评省级智能工厂与省级先进级智能工厂，反映其在DCS自动控制、连续化生产、MES系统与数字化质量追溯方面达到较高水平，有助于降低人为操作风险、提升批次一致性。</w:t>
      </w:r>
    </w:p>
    <w:p>
      <w:pPr>
        <w:spacing w:lineRule="exact" w:line="600" w:before="0" w:after="0"/>
        <w:ind w:firstLine="420"/>
        <w:jc w:val="both"/>
      </w:pPr>
      <w:r>
        <w:rPr>
          <w:rFonts w:ascii="仿宋_GB2312" w:hAnsi="仿宋_GB2312" w:eastAsia="仿宋_GB2312"/>
          <w:b w:val="0"/>
          <w:color w:val="000000"/>
          <w:sz w:val="32"/>
        </w:rPr>
        <w:t>风险提示方面，企查查显示公司存在10条自身风险，其中包括多起劳动争议案件的开庭公告（如2025年8月、9月的劳动争议开庭）。此类案件属于制造企业常见的用工纠纷，单体金额通常有限，但反映出用工管理环节存在改进空间，建议在尽职调查中核实其累计涉诉金额与执行情况。</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社保参保人数722人（2024年度工商年报口径），公开招聘资料显示员工规模在880至900人以上。人员结构以生产运行、质量控制与技术研发为主。公司与山东大学、浙江大学等多家院校建立协作关系，共同开展关键技术攻关，提升自主创新能力。</w:t>
      </w:r>
    </w:p>
    <w:p>
      <w:pPr>
        <w:spacing w:lineRule="exact" w:line="600" w:before="0" w:after="0"/>
        <w:ind w:firstLine="420"/>
        <w:jc w:val="both"/>
      </w:pPr>
      <w:r>
        <w:rPr>
          <w:rFonts w:ascii="仿宋_GB2312" w:hAnsi="仿宋_GB2312" w:eastAsia="仿宋_GB2312"/>
          <w:b w:val="0"/>
          <w:color w:val="000000"/>
          <w:sz w:val="32"/>
        </w:rPr>
        <w:t>公司在人才吸引上采取了较为积极的政策：面向应届毕业生开展校园招聘，提供免费宿舍（大专及本科2人1间，硕士1人1间，配备空调、沐浴间、网络光纤）、上下班专车接送、带薪探亲假并报销往返路费、年度免费体检、月度与季度劳保用品发放；同时可享受潍坊地区人才引进的政府生活补贴。企业文化倡导"创新""效率"为驱动引擎，"快乐学习、快乐运动、快乐工作"为理念，通过周末乐跑、球类比赛、卡拉OK比赛、年终表彰大会等活动营造氛围。</w:t>
      </w:r>
    </w:p>
    <w:p>
      <w:pPr>
        <w:spacing w:lineRule="exact" w:line="600" w:before="0" w:after="0"/>
        <w:ind w:firstLine="420"/>
        <w:jc w:val="both"/>
      </w:pPr>
      <w:r>
        <w:rPr>
          <w:rFonts w:ascii="仿宋_GB2312" w:hAnsi="仿宋_GB2312" w:eastAsia="仿宋_GB2312"/>
          <w:b w:val="0"/>
          <w:color w:val="000000"/>
          <w:sz w:val="32"/>
        </w:rPr>
        <w:t>上述人力资源政策针对县域企业招才留才的痛点设计，具有较强的针对性。公司拥有省级企业技术中心，为技术人员提供了发展平台，与母公司普洛药业2024年研发费用6.41亿元的持续投入形成呼应。</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细分品类的全球市场地位。公司心血管类中间体产品占全国60%，是全球最大的供应商之一。在医药中间体行业，如此高的单一品类份额意味着公司掌握着该产品全球供应链的关键节点，具备定价影响力与议价能力，这是最坚实的护城河。</w:t>
      </w:r>
    </w:p>
    <w:p>
      <w:pPr>
        <w:spacing w:lineRule="exact" w:line="600" w:before="0" w:after="0"/>
        <w:ind w:firstLine="420"/>
        <w:jc w:val="both"/>
      </w:pPr>
      <w:r>
        <w:rPr>
          <w:rFonts w:ascii="仿宋_GB2312" w:hAnsi="仿宋_GB2312" w:eastAsia="仿宋_GB2312"/>
          <w:b w:val="0"/>
          <w:color w:val="000000"/>
          <w:sz w:val="32"/>
        </w:rPr>
        <w:t>第二，客户认证与注册壁垒。医药中间体一旦通过客户的供应商审计并写入其药品注册文件（DMF/CEP等），更换供应商需重新验证与变更申报，周期长达一至三年且存在监管风险。公司深耕行业二十年，积累了大量此类"锁定型"客户关系，形成极高的切换成本。</w:t>
      </w:r>
    </w:p>
    <w:p>
      <w:pPr>
        <w:spacing w:lineRule="exact" w:line="600" w:before="0" w:after="0"/>
        <w:ind w:firstLine="420"/>
        <w:jc w:val="both"/>
      </w:pPr>
      <w:r>
        <w:rPr>
          <w:rFonts w:ascii="仿宋_GB2312" w:hAnsi="仿宋_GB2312" w:eastAsia="仿宋_GB2312"/>
          <w:b w:val="0"/>
          <w:color w:val="000000"/>
          <w:sz w:val="32"/>
        </w:rPr>
        <w:t>第三，上市公司平台与集团赋能。公司为普洛药业（000739.SZ）全资控制的核心子公司，隶属浙江横店集团。母公司2024年营业收入120.22亿元、归母净利润10.31亿元、资产负债率46.97%、经营现金流12.09亿元，财务实力雄厚，并会为下属公司融资提供连带责任保证担保。母公司的CDMO平台（1601个报价项目、572家创新药客户）可为公司持续导入高附加值订单。</w:t>
      </w:r>
    </w:p>
    <w:p>
      <w:pPr>
        <w:spacing w:lineRule="exact" w:line="600" w:before="0" w:after="0"/>
        <w:ind w:firstLine="420"/>
        <w:jc w:val="both"/>
      </w:pPr>
      <w:r>
        <w:rPr>
          <w:rFonts w:ascii="仿宋_GB2312" w:hAnsi="仿宋_GB2312" w:eastAsia="仿宋_GB2312"/>
          <w:b w:val="0"/>
          <w:color w:val="000000"/>
          <w:sz w:val="32"/>
        </w:rPr>
        <w:t>第四，技术与专利壁垒。公司拥有44项专利，涵盖右旋苯乙磺酸D-对羟基苯甘氨酸复盐的合成方法、连续化合成工艺、脱保护方法等核心技术。特别是连续化合成方向的技术布局，代表了医药化工本质安全化与绿色化的发展方向。公司为省级企业技术中心，与山东大学、浙江大学等院校保持产学研合作。</w:t>
      </w:r>
    </w:p>
    <w:p>
      <w:pPr>
        <w:spacing w:lineRule="exact" w:line="600" w:before="0" w:after="0"/>
        <w:ind w:firstLine="420"/>
        <w:jc w:val="both"/>
      </w:pPr>
      <w:r>
        <w:rPr>
          <w:rFonts w:ascii="仿宋_GB2312" w:hAnsi="仿宋_GB2312" w:eastAsia="仿宋_GB2312"/>
          <w:b w:val="0"/>
          <w:color w:val="000000"/>
          <w:sz w:val="32"/>
        </w:rPr>
        <w:t>第五，资质与合规壁垒。公司为山东省高新技术企业、专精特新中小企业、省级制造业单项冠军企业、省级智能工厂与先进级智能工厂，通过ISO9001/14001/45001三体系认证，持有危险化学品登记证。在医药与危化品双重强监管环境下，完备资质本身即构成新进入者难以逾越的门槛。</w:t>
      </w:r>
    </w:p>
    <w:p>
      <w:pPr>
        <w:spacing w:lineRule="exact" w:line="600" w:before="0" w:after="0"/>
        <w:ind w:firstLine="420"/>
        <w:jc w:val="both"/>
      </w:pPr>
      <w:r>
        <w:rPr>
          <w:rFonts w:ascii="仿宋_GB2312" w:hAnsi="仿宋_GB2312" w:eastAsia="仿宋_GB2312"/>
          <w:b w:val="0"/>
          <w:color w:val="000000"/>
          <w:sz w:val="32"/>
        </w:rPr>
        <w:t>第六，园区产业链协同壁垒。公司位于昌邑下营化工产业园，作为新医药产业链链主，可通过"隔墙供应""就近配套"获得海天生物、亚星新材料、金典化工等企业提供的纯碱、烧碱、硫氢化钠等基础原料，形成显著的原料保障与成本优势，同时降低危化品运输风险。</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一是医药行业政策风险。带量采购、医保控费等政策向上游传导，压制制剂企业利润并进而压低原料药与中间体的采购价格。2024年普洛药业原料药中间体板块毛利率同比下降2.59个百分点，即为该压力的体现。二是国际地缘政治风险。母公司2024年年报明确指出，医药行业受到地缘政治冲突、经济形势复杂多变等外部环境影响，公司出口业务面临关税、贸易壁垒与供应链重构的不确定性。三是行业竞争加剧，国内医药中间体产能扩张导致大宗品类价格竞争激烈。应对上，公司依托心血管中间体的高份额与高壁垒品类维持盈利，母公司则通过"2030发展战略"（做精原料、做强CDMO、做好药品、拓展医美）优化业务结构。</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产品结构风险，若心血管类中间体的单一品类出现下游需求变化或替代技术出现，将对公司收入形成较大冲击。二是客户集中风险，中间体行业客户数量相对有限，大客户订单波动影响明显。三是原料价格波动风险，基础化工原料价格受原油与大宗商品周期影响。四是产能与工艺风险，医药化工工艺路线复杂，收率波动直接影响成本。公司通过持续的工艺研发（44项专利）、连续化改造与智能工厂建设加以应对。</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单体财务数据未公开披露，无法直接评估。从母公司口径看，普洛药业财务状况稳健（资产负债率46.97%、流动比率1.43、有息负债率15.81%、经营现金流12.09亿元），财务风险低。公司自身的主要财务关注点在于：与母公司之间的资金往来与关联交易规模、是否存在对外担保、应收账款账龄结构以及汇率波动对出口业务的影响。建议在授信前获取其经审计报表予以核实。</w:t>
      </w:r>
    </w:p>
    <w:p>
      <w:pPr>
        <w:spacing w:lineRule="exact" w:line="600" w:before="120" w:after="120"/>
        <w:ind w:firstLine="420"/>
        <w:jc w:val="left"/>
      </w:pPr>
      <w:r>
        <w:rPr>
          <w:rFonts w:ascii="楷体_GB2312" w:hAnsi="楷体_GB2312" w:eastAsia="楷体_GB2312"/>
          <w:b w:val="0"/>
          <w:color w:val="000000"/>
          <w:sz w:val="32"/>
        </w:rPr>
        <w:t>（四）合规与安全环保风险</w:t>
      </w:r>
    </w:p>
    <w:p>
      <w:pPr>
        <w:spacing w:lineRule="exact" w:line="600" w:before="0" w:after="0"/>
        <w:ind w:firstLine="420"/>
        <w:jc w:val="both"/>
      </w:pPr>
      <w:r>
        <w:rPr>
          <w:rFonts w:ascii="仿宋_GB2312" w:hAnsi="仿宋_GB2312" w:eastAsia="仿宋_GB2312"/>
          <w:b w:val="0"/>
          <w:color w:val="000000"/>
          <w:sz w:val="32"/>
        </w:rPr>
        <w:t>这是公司最需要重点关注的风险维度。公司为危险化学品生产企业，涉及硝酸、氢溴酸等强腐蚀性危化品的生产与储存，并使用多种有毒有害溶剂，安全风险等级高。医药化工行业的"三废"（高盐高COD废水、有机废气、危险废物）处置成本高、监管严。随着山东省对化工园区安全环保要求的持续加严，公司须持续投入维持合规。正面因素是公司已通过ISO14001与ISO45001认证、获评省级智能工厂（自动化程度高、人员暴露风险低）、并保持了长期稳定运行记录。</w:t>
      </w:r>
    </w:p>
    <w:p>
      <w:pPr>
        <w:spacing w:lineRule="exact" w:line="600" w:before="120" w:after="120"/>
        <w:ind w:firstLine="420"/>
        <w:jc w:val="left"/>
      </w:pPr>
      <w:r>
        <w:rPr>
          <w:rFonts w:ascii="楷体_GB2312" w:hAnsi="楷体_GB2312" w:eastAsia="楷体_GB2312"/>
          <w:b w:val="0"/>
          <w:color w:val="000000"/>
          <w:sz w:val="32"/>
        </w:rPr>
        <w:t>（五）管理与法律风险</w:t>
      </w:r>
    </w:p>
    <w:p>
      <w:pPr>
        <w:spacing w:lineRule="exact" w:line="600" w:before="0" w:after="0"/>
        <w:ind w:firstLine="420"/>
        <w:jc w:val="both"/>
      </w:pPr>
      <w:r>
        <w:rPr>
          <w:rFonts w:ascii="仿宋_GB2312" w:hAnsi="仿宋_GB2312" w:eastAsia="仿宋_GB2312"/>
          <w:b w:val="0"/>
          <w:color w:val="000000"/>
          <w:sz w:val="32"/>
        </w:rPr>
        <w:t>企查查显示公司存在10条自身风险，包括2025年8月、9月的多起劳动争议开庭公告。此类纠纷金额通常有限，但需关注其是否反映用工管理或薪酬体系的系统性问题。公司参保人数722人与招聘资料所述880至900人存在差异，建议核实劳务派遣与外包用工的规模及合规性。</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公司属于"上市公司全资控股、细分品类全球领先、母公司财务稳健、自身信息披露有限"的类型，是优质但获客难度较高的目标客户。母公司资产负债率仅46.97%、现金比率69.32%，集团整体资金充裕，因此公司对外部融资的刚性需求相对有限，合作切入需以"效率提升"与"生态服务"为价值主张，而非单纯的资金供给。</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公司销售以国内外制药企业为主，账期通常在30至90天（母公司应收账款周转率6.95次、回款周期约52天），应收账款质量优良、债务人资质好，是保理业务的优质基础资产。建议开展无追索权国内保理或出口保理：一方面帮助公司提前回笼资金、优化报表；另一方面出口保理可覆盖海外客户的信用风险与汇率风险，对公司拓展欧美日规范市场具有实质价值。此类高质量应收账款的保理定价可较市场平均水平适度下浮以提升竞争力。</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公司是昌邑下营化工产业园新医药产业链链主，具备典型的核心企业特征。可搭建"1+N"平台：上游为其基础化工原料、溶剂、催化剂、包装材料供应商提供反向保理与订单融资；下游为采购其中间体的中小制药企业与动保企业提供采购融资。特别值得关注的是，公司与园区内海天生物、亚星新材料、金典化工之间存在"隔墙供应"的真实交易流，这种物流可视、交割可控的园区内闭环交易，是供应链金融风控条件最优的场景之一，可考虑与前述企业联合设计园区级供应链金融方案。</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公司拥有大量合成反应釜、精馏塔、离心机、干燥系统、DCS控制系统、公用工程设备与储罐区等固定资产，且作为省级智能工厂持续开展自动化与连续化改造，设备更新需求持续存在。建议以直租方式介入其连续化改造、智能工厂升级、环保设施提标改造等项目的设备采购，期限3至5年；亦可对存量通用设备开展售后回租，为其补充中长期营运资金。由于母公司信用优良并有对下属公司担保的先例，可争取普洛药业提供保证担保，进一步降低租赁风险。</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不宜直接服务主体。建议服务其生态圈：一是为公司的中小原料供应商（溶剂、包材、辅料）提供经营性贷款；二是为园区内配套的物流运输、检维修、环保运营、劳务服务企业提供小额周转贷款；三是为公司722名以上员工提供消费金融与住房装修等零售金融服务，公司稳定的用工规模与规范的薪酬发放（含政府人才补贴）为此类业务提供了良好的还款来源保障。</w:t>
      </w:r>
    </w:p>
    <w:p>
      <w:pPr>
        <w:spacing w:lineRule="exact" w:line="600" w:before="0" w:after="0"/>
        <w:ind w:firstLine="420"/>
        <w:jc w:val="both"/>
      </w:pPr>
      <w:r>
        <w:rPr>
          <w:rFonts w:ascii="仿宋_GB2312" w:hAnsi="仿宋_GB2312" w:eastAsia="仿宋_GB2312"/>
          <w:b w:val="0"/>
          <w:color w:val="000000"/>
          <w:sz w:val="32"/>
        </w:rPr>
        <w:t>综合建议与风控要点：公司信用资质优良，建议以"保理+供应链金融"为主攻方向，以融资租赁为补充。授信规模可按其历史营业收入（2019年14.5亿元并逐年增加）的10%至15%测算作为起步额度，即1.5亿元至2.2亿元，并根据尽职调查结果动态调整。风控要点：一是取得其经审计的单体财务报表以替代当前的公开信息空白；二是核实与母公司及关联方的资金往来、担保情况；三是核实10条自身风险与劳动争议案件的具体情况；四是跟踪普洛药业的定期报告，特别是原料药中间体板块的收入与毛利率变化；五是关注医药集采政策与国际贸易环境对其出口业务的影响。</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汉兴医药科技有限公司（现名山东普洛汉兴医药有限公司）是一家产业地位突出、技术积累深厚、治理规范、背靠优质上市公司的医药中间体龙头企业。公司心血管类中间体产品占全国60%、为全球最大供应商之一，在细分品类中具有全球性影响力；拥有44项专利、省级企业技术中心、省级制造业单项冠军、省级智能工厂等一系列资质；注册资本11100万元全额实缴，员工规模722至900人。</w:t>
      </w:r>
    </w:p>
    <w:p>
      <w:pPr>
        <w:spacing w:lineRule="exact" w:line="600" w:before="0" w:after="0"/>
        <w:ind w:firstLine="420"/>
        <w:jc w:val="both"/>
      </w:pPr>
      <w:r>
        <w:rPr>
          <w:rFonts w:ascii="仿宋_GB2312" w:hAnsi="仿宋_GB2312" w:eastAsia="仿宋_GB2312"/>
          <w:b w:val="0"/>
          <w:color w:val="000000"/>
          <w:sz w:val="32"/>
        </w:rPr>
        <w:t>公司最终由A股上市公司普洛药业100%控制，隶属浙江横店集团。母公司2024年营业收入120.22亿元、归母净利润10.31亿元、资产负债率46.97%、经营活动现金流12.09亿元、有息负债率仅15.81%，财务实力雄厚且持续优化，并有为下属公司担保的先例，为公司提供了强有力的信用背书。</w:t>
      </w:r>
    </w:p>
    <w:p>
      <w:pPr>
        <w:spacing w:lineRule="exact" w:line="600" w:before="0" w:after="0"/>
        <w:ind w:firstLine="420"/>
        <w:jc w:val="both"/>
      </w:pPr>
      <w:r>
        <w:rPr>
          <w:rFonts w:ascii="仿宋_GB2312" w:hAnsi="仿宋_GB2312" w:eastAsia="仿宋_GB2312"/>
          <w:b w:val="0"/>
          <w:color w:val="000000"/>
          <w:sz w:val="32"/>
        </w:rPr>
        <w:t>主要不足在于：公司单体财务数据未公开披露，外部评估存在信息盲区；原料药中间体板块毛利率2024年同比下降2.59个百分点，行业价格竞争压力显现；存在10条自身风险与多起劳动争议诉讼；作为危化品生产企业面临持续的安全环保合规投入压力。</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母公司普洛药业公开发布的"2030发展战略"——"做精原料、做强CDMO、做好药品、拓展医美"，公司作为原料药中间体核心基地，未来发展方向主要包括：一是"做精原料"，母公司计划未来3至5年新增30至50个API的DMF注册，公司有望承接部分新品种的产业化落地；二是承接CDMO订单转化，母公司已与572家创新药企业签订保密协议、进行中项目996个（其中商业化阶段355个、研发阶段641个），项目"漏斗模型"将持续向生产端释放订单；三是深化智能制造，在省级智能工厂基础上推进连续化合成与数字化升级；四是巩固心血管类中间体的全球领先地位，并向高附加值的特色原料药延伸。</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医药行业政策与集采向上游传导带来的持续降价压力；二是国际地缘政治与贸易环境变化对出口业务的不确定性影响；三是国内中间体产能扩张导致的竞争加剧与毛利率下行；四是危化品与医药双重强监管下的合规成本上升；五是县域区位对高层次研发人才吸引力的结构性约束。</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结论：公司是本批次乃至昌邑海洋精细化工特色产业集群中综合质量最优的企业之一，产业价值高、信用风险低，属于应当重点争取的优质客户。</w:t>
      </w:r>
    </w:p>
    <w:p>
      <w:pPr>
        <w:spacing w:lineRule="exact" w:line="600" w:before="0" w:after="0"/>
        <w:ind w:firstLine="420"/>
        <w:jc w:val="both"/>
      </w:pPr>
      <w:r>
        <w:rPr>
          <w:rFonts w:ascii="仿宋_GB2312" w:hAnsi="仿宋_GB2312" w:eastAsia="仿宋_GB2312"/>
          <w:b w:val="0"/>
          <w:color w:val="000000"/>
          <w:sz w:val="32"/>
        </w:rPr>
        <w:t>建议：一是以出口保理与国内保理为切入产品，服务其国际化与回款效率提升需求，凸显差异化服务价值；二是围绕其新医药产业链链主地位搭建园区级"1+N"供应链金融平台，与海天生物、亚星新材料、金典化工的"隔墙供应"交易流相结合，实现园区批量获客；三是以直租方式介入其连续化改造与智能工厂升级的设备采购需求；四是积极对接母公司普洛药业，争取在集团层面建立合作关系，以获得对包括汉兴医药在内的多家子公司的服务机会；五是尽职调查阶段务必获取其经审计的单体财务报表、核实关联交易与担保情况、核查10条自身风险及劳动争议案件；六是建立与普洛药业定期报告同步的跟踪机制，重点监控原料药中间体板块的收入、毛利率与集团资产负债率变化。</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国家企业信用信息公示系统、企查查、亿查猫等平台公开的工商登记信息（统一社会信用代码913707867774034071），含成立日期、注册资本与实缴资本、股东结构与持股比例、主要人员、经营范围、参保人数、对外投资、企业年报、变更记录、专利、风险提示、开庭公告、招投标信息等。</w:t>
      </w:r>
    </w:p>
    <w:p>
      <w:pPr>
        <w:spacing w:lineRule="exact" w:line="600" w:before="0" w:after="0"/>
        <w:jc w:val="left"/>
      </w:pPr>
      <w:r>
        <w:rPr>
          <w:rFonts w:ascii="仿宋_GB2312" w:hAnsi="仿宋_GB2312" w:eastAsia="仿宋_GB2312"/>
          <w:b w:val="0"/>
          <w:color w:val="000000"/>
          <w:sz w:val="28"/>
        </w:rPr>
        <w:t>2. 普洛股份有限公司《非公开发行股份购买资产并募集配套资金暨关联交易报告书（摘要）》（深圳证券交易所2012年12月26日披露），含汉兴医药设立时的股东出资、历史沿革、2005年10月股权转让、重组时的基本情况与主导产品等。</w:t>
      </w:r>
    </w:p>
    <w:p>
      <w:pPr>
        <w:spacing w:lineRule="exact" w:line="600" w:before="0" w:after="0"/>
        <w:jc w:val="left"/>
      </w:pPr>
      <w:r>
        <w:rPr>
          <w:rFonts w:ascii="仿宋_GB2312" w:hAnsi="仿宋_GB2312" w:eastAsia="仿宋_GB2312"/>
          <w:b w:val="0"/>
          <w:color w:val="000000"/>
          <w:sz w:val="28"/>
        </w:rPr>
        <w:t>3. 普洛药业股份有限公司（000739.SZ）2024年年度报告及《2024年度财务决算报告》（深圳证券交易所2025年3月11日披露，山东和信会计师事务所审计），含营业收入、营业利润、归母净利润、总资产与总负债、资产负债率、经营与投资及筹资活动现金流量、分板块收入与毛利率等。</w:t>
      </w:r>
    </w:p>
    <w:p>
      <w:pPr>
        <w:spacing w:lineRule="exact" w:line="600" w:before="0" w:after="0"/>
        <w:jc w:val="left"/>
      </w:pPr>
      <w:r>
        <w:rPr>
          <w:rFonts w:ascii="仿宋_GB2312" w:hAnsi="仿宋_GB2312" w:eastAsia="仿宋_GB2312"/>
          <w:b w:val="0"/>
          <w:color w:val="000000"/>
          <w:sz w:val="28"/>
        </w:rPr>
        <w:t>4. 普洛药业官网《普洛药业发布2024年报：经营业绩彰显发展韧性，CDMO业务有望提速增长》（2025年3月12日），含API业务收入86.51亿元及增速、CDMO项目与客户数、DMF申报、药品业务毛利率、研发费用6.41亿元等。</w:t>
      </w:r>
    </w:p>
    <w:p>
      <w:pPr>
        <w:spacing w:lineRule="exact" w:line="600" w:before="0" w:after="0"/>
        <w:jc w:val="left"/>
      </w:pPr>
      <w:r>
        <w:rPr>
          <w:rFonts w:ascii="仿宋_GB2312" w:hAnsi="仿宋_GB2312" w:eastAsia="仿宋_GB2312"/>
          <w:b w:val="0"/>
          <w:color w:val="000000"/>
          <w:sz w:val="28"/>
        </w:rPr>
        <w:t>5. 上海证券报·中国证券网《普洛药业2024年营收逾120亿元 拟10派3.56元》（2025年3月），含"2030发展战略"、原料药板块毛利率14.97%、CDMO毛利率41.06%、药品毛利率60.81%、未来3至5年新增30至50个API的DMF注册规划等。</w:t>
      </w:r>
    </w:p>
    <w:p>
      <w:pPr>
        <w:spacing w:lineRule="exact" w:line="600" w:before="0" w:after="0"/>
        <w:jc w:val="left"/>
      </w:pPr>
      <w:r>
        <w:rPr>
          <w:rFonts w:ascii="仿宋_GB2312" w:hAnsi="仿宋_GB2312" w:eastAsia="仿宋_GB2312"/>
          <w:b w:val="0"/>
          <w:color w:val="000000"/>
          <w:sz w:val="28"/>
        </w:rPr>
        <w:t>6. 普洛药业（000739.SZ）2024年年报财务指标数据（资产负债率46.97%、流动比率1.43、速动比率1.10、现金比率69.32%、有息负债率15.81%、销售毛利率23.85%、销售净利率8.57%、ROE 16.09%、应收账款周转率6.95次、存货周转率4.64次等）。</w:t>
      </w:r>
    </w:p>
    <w:p>
      <w:pPr>
        <w:spacing w:lineRule="exact" w:line="600" w:before="0" w:after="0"/>
        <w:jc w:val="left"/>
      </w:pPr>
      <w:r>
        <w:rPr>
          <w:rFonts w:ascii="仿宋_GB2312" w:hAnsi="仿宋_GB2312" w:eastAsia="仿宋_GB2312"/>
          <w:b w:val="0"/>
          <w:color w:val="000000"/>
          <w:sz w:val="28"/>
        </w:rPr>
        <w:t>7. 公司校园招聘公开资料（应届生求职网、辽宁科技大学就业信息网等发布的宣讲会信息与招聘简章），含公司简介、隶属关系、2018年销售额11.49亿元、2019年营业收入14.5亿元、员工规模、三体系认证、校企合作院校、员工福利与人才政策等。</w:t>
      </w:r>
    </w:p>
    <w:p>
      <w:pPr>
        <w:spacing w:lineRule="exact" w:line="600" w:before="0" w:after="0"/>
        <w:jc w:val="left"/>
      </w:pPr>
      <w:r>
        <w:rPr>
          <w:rFonts w:ascii="仿宋_GB2312" w:hAnsi="仿宋_GB2312" w:eastAsia="仿宋_GB2312"/>
          <w:b w:val="0"/>
          <w:color w:val="000000"/>
          <w:sz w:val="28"/>
        </w:rPr>
        <w:t>8. 大众网·海报新闻《潍坊昌邑：特色产品"抢滩登陆"海外市场》《潍坊昌邑：做好"链"文章 培植壮大化工产业》《潍坊昌邑：创新驱动高端化工产业链绿色崛起》，含"山东汉兴医药心血管类中间体产品占全国的60%，是全球最大的供应商之一"及下营化工产业园四条产业链链主布局等。</w:t>
      </w:r>
    </w:p>
    <w:p>
      <w:pPr>
        <w:spacing w:lineRule="exact" w:line="600" w:before="0" w:after="0"/>
        <w:jc w:val="left"/>
      </w:pPr>
      <w:r>
        <w:rPr>
          <w:rFonts w:ascii="仿宋_GB2312" w:hAnsi="仿宋_GB2312" w:eastAsia="仿宋_GB2312"/>
          <w:b w:val="0"/>
          <w:color w:val="000000"/>
          <w:sz w:val="28"/>
        </w:rPr>
        <w:t>9. 潍坊投资促进网《"链上成景"！昌邑生物医药特色产业集群悄然崛起》（2024年5月11日）。</w:t>
      </w:r>
    </w:p>
    <w:p>
      <w:pPr>
        <w:spacing w:lineRule="exact" w:line="600" w:before="0" w:after="0"/>
        <w:jc w:val="left"/>
      </w:pPr>
      <w:r>
        <w:rPr>
          <w:rFonts w:ascii="仿宋_GB2312" w:hAnsi="仿宋_GB2312" w:eastAsia="仿宋_GB2312"/>
          <w:b w:val="0"/>
          <w:color w:val="000000"/>
          <w:sz w:val="28"/>
        </w:rPr>
        <w:t>特别说明：一、公司现工商登记名称为"山东普洛汉兴医药有限公司"，"山东汉兴医药科技有限公司"为其曾用名，二者为同一法人主体。二、公司为非上市法人主体，其单体资产负债表、利润表、现金流量表未公开披露，本报告未对未披露财务数据作任何推算或拟制，财务分析部分采用控股股东普洛药业经审计的合并口径数据。三、2018年销售额11.49亿元、2019年营业收入14.5亿元数据来源于公司校园招聘公开资料，非经审计财务报告，仅供参考。</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