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山东潍坊昌邑市(海洋精细化工)特色产业集群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山东海天生物化工有限公司企业分析报告</w:t>
      </w:r>
    </w:p>
    <w:p>
      <w:pPr>
        <w:spacing w:lineRule="exact" w:line="600" w:before="0" w:after="0"/>
        <w:jc w:val="left"/>
      </w:pPr>
      <w:r>
        <w:rPr>
          <w:rFonts w:ascii="仿宋_GB2312" w:hAnsi="仿宋_GB2312" w:eastAsia="仿宋_GB2312"/>
          <w:b w:val="0"/>
          <w:color w:val="000000"/>
          <w:sz w:val="28"/>
        </w:rPr>
        <w:t>（本报告依据国家企业信用信息公示系统、天眼查/企查查工商登记信息、上海证券交易所上市公司金晶科技（600586.SH）年度报告及公开公告、上海证券报、中国证券报、大众日报及昌邑市地方政务媒体公开报道等渠道整理编制，统计时点截至最新公开披露信息。本公司为非上市法人主体，除控股上市公司年报中披露的合并口径子公司数据外，其余财务信息未单独公开披露，报告中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海天生物化工有限公司（以下简称"海天生物"或"公司"）成立于2003年9月12日，统一社会信用代码913707867544621728，工商注册号370786018624522，组织机构代码75446217-2，登记机关为昌邑市市场监督管理局，营业期限自2003年9月12日起至无固定期限，企业登记状态为存续（开业）。公司注册地址为山东省潍坊市昌邑市下营经济开发区金晶大道1号，英文名称为Shandong Haitian Bio-Chemical Co., Ltd.，法定代表人为王建民。</w:t>
      </w:r>
    </w:p>
    <w:p>
      <w:pPr>
        <w:spacing w:lineRule="exact" w:line="600" w:before="0" w:after="0"/>
        <w:ind w:firstLine="420"/>
        <w:jc w:val="both"/>
      </w:pPr>
      <w:r>
        <w:rPr>
          <w:rFonts w:ascii="仿宋_GB2312" w:hAnsi="仿宋_GB2312" w:eastAsia="仿宋_GB2312"/>
          <w:b w:val="0"/>
          <w:color w:val="000000"/>
          <w:sz w:val="32"/>
        </w:rPr>
        <w:t>公司注册资本为137411.681万元人民币（约13.74亿元），实缴资本137011.681万元人民币，企业类型为其他有限责任公司，属于大型企业。按国民经济行业分类，公司归入化学原料和化学制品制造业，细分行业为无机碱制造（行业代码C2612）。公司为增值税一般纳税人，具有进出口企业代码3700754462172与海关注册编码3707964982，具备自营进出口经营资格。</w:t>
      </w:r>
    </w:p>
    <w:p>
      <w:pPr>
        <w:spacing w:lineRule="exact" w:line="600" w:before="0" w:after="0"/>
        <w:ind w:firstLine="420"/>
        <w:jc w:val="both"/>
      </w:pPr>
      <w:r>
        <w:rPr>
          <w:rFonts w:ascii="仿宋_GB2312" w:hAnsi="仿宋_GB2312" w:eastAsia="仿宋_GB2312"/>
          <w:b w:val="0"/>
          <w:color w:val="000000"/>
          <w:sz w:val="32"/>
        </w:rPr>
        <w:t>从股权结构看，公司股东共2名：山东金晶科技股份有限公司（上海证券交易所主板上市公司，股票代码600586.SH，简称"金晶科技"）认缴出资136911.681万元，持股比例99.6361%，为绝对控股股东，首次持股日期为2006年12月29日；滕州金晶玻璃有限公司认缴出资500万元，持股比例0.3639%，为2025年6月新进股东。据股权穿透信息，滕州金晶玻璃有限公司亦由金晶科技持股98.3391%、由海天生物自身持股1.6609%，故公司实质由金晶科技100%间接控制，属于上市公司全资控制的核心生产型子公司。</w:t>
      </w:r>
    </w:p>
    <w:p>
      <w:pPr>
        <w:spacing w:lineRule="exact" w:line="600" w:before="0" w:after="0"/>
        <w:ind w:firstLine="420"/>
        <w:jc w:val="both"/>
      </w:pPr>
      <w:r>
        <w:rPr>
          <w:rFonts w:ascii="仿宋_GB2312" w:hAnsi="仿宋_GB2312" w:eastAsia="仿宋_GB2312"/>
          <w:b w:val="0"/>
          <w:color w:val="000000"/>
          <w:sz w:val="32"/>
        </w:rPr>
        <w:t>就实际控制关系而言，金晶科技的第一大股东为山东金晶节能玻璃有限公司（持股约32.29%），其余为公募基金、私募基金、香港中央结算有限公司及自然人股东等分散持股；金晶科技回购专用证券账户持股约1.47%。公司最终实际控制人的具体认定，以金晶科技定期报告及权益变动公告披露口径为准。就产业属性而言，公司系金晶集团旗下纯碱业务的唯一运营主体，是集团"玻璃+纯碱"双主业格局中的化工板块支柱。</w:t>
      </w:r>
    </w:p>
    <w:p>
      <w:pPr>
        <w:spacing w:lineRule="exact" w:line="600" w:before="0" w:after="0"/>
        <w:ind w:firstLine="420"/>
        <w:jc w:val="both"/>
      </w:pPr>
      <w:r>
        <w:rPr>
          <w:rFonts w:ascii="仿宋_GB2312" w:hAnsi="仿宋_GB2312" w:eastAsia="仿宋_GB2312"/>
          <w:b w:val="0"/>
          <w:color w:val="000000"/>
          <w:sz w:val="32"/>
        </w:rPr>
        <w:t>公司经营范围包括一般项目：食品添加剂销售、饲料添加剂销售、基础化学原料制造（不含危险化学品等许可类化学品的制造）、化工产品生产（不含许可类化工产品）、化工产品销售（不含许可类化工产品）、日用化学产品制造与销售、货物进出口、技术进出口、生物基材料制造与销售；许可项目：食品添加剂生产、饲料添加剂生产、热力生产和供应、发电业务、输电业务、供（配）电业务、食品用洗涤剂生产。许可类项目须经相关部门批准后方可开展，具体以批准文件或许可证件为准。</w:t>
      </w:r>
    </w:p>
    <w:p>
      <w:pPr>
        <w:spacing w:lineRule="exact" w:line="600" w:before="0" w:after="0"/>
        <w:ind w:firstLine="420"/>
        <w:jc w:val="both"/>
      </w:pPr>
      <w:r>
        <w:rPr>
          <w:rFonts w:ascii="仿宋_GB2312" w:hAnsi="仿宋_GB2312" w:eastAsia="仿宋_GB2312"/>
          <w:b w:val="0"/>
          <w:color w:val="000000"/>
          <w:sz w:val="32"/>
        </w:rPr>
        <w:t>公司登记的社保参保人数为1208人（2025年度工商年报口径），人员规模区间为1000至4999人，属于典型的资金密集与劳动力密集并重的重化工制造企业。公司登记联系电话为0536-5125299，企业邮箱后缀统一为cnggg.cn，与金晶集团统一信息化体系保持一致。</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金晶科技的化工业务运营平台，采取"上市公司—业务板块—生产基地"的三级管理架构。在金晶科技合并报表体系内，海天生物是纯碱（化工）板块的唯一收入与利润贡献主体，与浮法玻璃、超白玻璃、TCO导电膜玻璃、马来西亚金晶等玻璃业务板块并列，共同构成上市公司"绿色建筑+绿色能源"双赛道布局。</w:t>
      </w:r>
    </w:p>
    <w:p>
      <w:pPr>
        <w:spacing w:lineRule="exact" w:line="600" w:before="0" w:after="0"/>
        <w:ind w:firstLine="420"/>
        <w:jc w:val="both"/>
      </w:pPr>
      <w:r>
        <w:rPr>
          <w:rFonts w:ascii="仿宋_GB2312" w:hAnsi="仿宋_GB2312" w:eastAsia="仿宋_GB2312"/>
          <w:b w:val="0"/>
          <w:color w:val="000000"/>
          <w:sz w:val="32"/>
        </w:rPr>
        <w:t>公司内部按照大型化工联合装置的通行模式设置组织单元，主要包括：生产运行系统（碱厂、盐化系统、热电系统等生产分厂）、技术研发系统（省级企业技术中心、市级重点实验室）、安全环保系统（HSE管理部门）、设备能源系统、供应与销售系统、财务与人力资源等职能系统。公司同时持有热力生产和供应、发电与输配电业务许可，配套建有自备热电装置，形成"化工主装置+能源自给"的一体化运行体系。</w:t>
      </w:r>
    </w:p>
    <w:p>
      <w:pPr>
        <w:spacing w:lineRule="exact" w:line="600" w:before="0" w:after="0"/>
        <w:ind w:firstLine="420"/>
        <w:jc w:val="both"/>
      </w:pPr>
      <w:r>
        <w:rPr>
          <w:rFonts w:ascii="仿宋_GB2312" w:hAnsi="仿宋_GB2312" w:eastAsia="仿宋_GB2312"/>
          <w:b w:val="0"/>
          <w:color w:val="000000"/>
          <w:sz w:val="32"/>
        </w:rPr>
        <w:t>在对外投资方面，公司持有滕州金晶玻璃有限公司1.6609%的少数股权，形成与母公司体系内玻璃板块的交叉持股联结；除此之外，公司对外投资结构简单，未见复杂的多层嵌套架构，治理链条清晰、穿透性强，有利于外部金融机构开展尽职调查与授信管理。</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2003年9月，公司在昌邑市下营经济开发区注册成立，选址核心考量是渤海莱州湾南岸丰富的地下卤水资源和沿海港口的物流条件，这两项要素直接决定了氨碱法纯碱生产的原料成本与运输成本。公司名称中的"生物化工"体现了设立初期对生物基化工方向的规划定位，但实际主导产品最终落定为纯碱与小苏打（碳酸氢钠）。</w:t>
      </w:r>
    </w:p>
    <w:p>
      <w:pPr>
        <w:spacing w:lineRule="exact" w:line="600" w:before="0" w:after="0"/>
        <w:ind w:firstLine="420"/>
        <w:jc w:val="both"/>
      </w:pPr>
      <w:r>
        <w:rPr>
          <w:rFonts w:ascii="仿宋_GB2312" w:hAnsi="仿宋_GB2312" w:eastAsia="仿宋_GB2312"/>
          <w:b w:val="0"/>
          <w:color w:val="000000"/>
          <w:sz w:val="32"/>
        </w:rPr>
        <w:t>2006年12月，山东金晶科技股份有限公司成为公司股东并逐步实现绝对控股，公司自此纳入上市公司体系。这一股权安排具有鲜明的产业逻辑：纯碱是浮法玻璃生产的第一大原材料，通常占玻璃生产成本的20%以上，上市公司通过控股纯碱生产企业实现原料自给与成本对冲，构筑了"纯碱—玻璃"纵向一体化的产业链闭环。</w:t>
      </w:r>
    </w:p>
    <w:p>
      <w:pPr>
        <w:spacing w:lineRule="exact" w:line="600" w:before="0" w:after="0"/>
        <w:ind w:firstLine="420"/>
        <w:jc w:val="both"/>
      </w:pPr>
      <w:r>
        <w:rPr>
          <w:rFonts w:ascii="仿宋_GB2312" w:hAnsi="仿宋_GB2312" w:eastAsia="仿宋_GB2312"/>
          <w:b w:val="0"/>
          <w:color w:val="000000"/>
          <w:sz w:val="32"/>
        </w:rPr>
        <w:t>此后公司围绕一期工程持续技改扩能，形成120万吨/年的纯碱生产能力，并同步发展小苏打（碳酸氢钠）等联产品，产品覆盖工业级与食品级两大品类。公司先后取得高新技术企业资格并顺利通过复评，建成省级企业技术中心与市级重点实验室，研发团队规模达139人，并与中国科学院过程工程研究所等科研机构开展产学研合作。</w:t>
      </w:r>
    </w:p>
    <w:p>
      <w:pPr>
        <w:spacing w:lineRule="exact" w:line="600" w:before="0" w:after="0"/>
        <w:ind w:firstLine="420"/>
        <w:jc w:val="both"/>
      </w:pPr>
      <w:r>
        <w:rPr>
          <w:rFonts w:ascii="仿宋_GB2312" w:hAnsi="仿宋_GB2312" w:eastAsia="仿宋_GB2312"/>
          <w:b w:val="0"/>
          <w:color w:val="000000"/>
          <w:sz w:val="32"/>
        </w:rPr>
        <w:t>2022年3月，"金晶"品牌玻璃与纯碱共同入选第一批"好品山东"品牌名单，公司产品品牌影响力得到省级层面认定。2024年度，公司获评当地突出贡献企业等荣誉，国家高新技术企业资格顺利通过复评。2025年6月，滕州金晶玻璃有限公司认缴入股500万元，公司完成最近一次工商变更与年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的战略定位是"金晶集团纯碱业务运营主体、玻璃主业的原料保障平台、区域盐化工产业链龙头"。在昌邑市海洋精细化工特色产业集群中，公司被明确定位为下营化工产业园盐及盐化工产业链的链主企业，为园区下游精细化工、新材料化工、医药化工企业提供稳定的基础化工原料，即园区所称的"工业粮食"。</w:t>
      </w:r>
    </w:p>
    <w:p>
      <w:pPr>
        <w:spacing w:lineRule="exact" w:line="600" w:before="0" w:after="0"/>
        <w:ind w:firstLine="420"/>
        <w:jc w:val="both"/>
      </w:pPr>
      <w:r>
        <w:rPr>
          <w:rFonts w:ascii="仿宋_GB2312" w:hAnsi="仿宋_GB2312" w:eastAsia="仿宋_GB2312"/>
          <w:b w:val="0"/>
          <w:color w:val="000000"/>
          <w:sz w:val="32"/>
        </w:rPr>
        <w:t>公司主营业务为纯碱（碳酸钠）与小苏打（碳酸氢钠）的研发、生产与经营，同时开展食品添加剂、饲料添加剂的生产销售以及热力、电力的生产供应。核心产品"金晶"牌纯碱采用氨碱法工艺生产，覆盖轻质纯碱与重质纯碱，产品广泛应用于平板玻璃、日用玻璃、洗涤剂、冶金、印染、水处理等领域；小苏打产品覆盖工业级（烟气脱硫、干法脱硫）与食品级（食用碱、烘焙、饲料添加）两大应用方向。</w:t>
      </w:r>
    </w:p>
    <w:p>
      <w:pPr>
        <w:spacing w:lineRule="exact" w:line="600" w:before="0" w:after="0"/>
        <w:ind w:firstLine="420"/>
        <w:jc w:val="both"/>
      </w:pPr>
      <w:r>
        <w:rPr>
          <w:rFonts w:ascii="仿宋_GB2312" w:hAnsi="仿宋_GB2312" w:eastAsia="仿宋_GB2312"/>
          <w:b w:val="0"/>
          <w:color w:val="000000"/>
          <w:sz w:val="32"/>
        </w:rPr>
        <w:t>公司产品的应用高度与品牌高度较为突出。依托金晶体系的品牌协同，"金晶"系列产品已应用于中国尊、北京银泰中心、国家体育场（鸟巢）、国家游泳中心（水立方）、冬奥会速滑馆、北京大兴国际机场、上海中心大厦、深圳平安金融中心以及阿联酋迪拜哈利法塔等国内外地标性建筑，纯碱作为上述玻璃产品的基础原料，间接进入高端建筑与工程供应链。</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根据金晶科技2024年年度报告披露，报告期内公司（纯碱业务主体海天公司）实现营业收入25.19亿元，净利润1.88亿元，是上市公司化工板块收入与利润的全部来源。从上市公司主营构成看，化工（纯碱）业务在合并口径中的收入规模与玻璃业务形成"三七开"至"四六开"的格局；根据金晶科技最新年度披露的主营收入产品分布，纯碱收入18.31亿元、占比40.51%，建筑玻璃收入10.99亿元、占比24.30%，技术玻璃收入10.90亿元、占比24.11%（该口径为上市公司合并抵消内部交易后的对外销售数据，与海天生物单体25.19亿元的营业收入口径不同，差额主要为向集团内玻璃生产企业的内部销售）。</w:t>
      </w:r>
    </w:p>
    <w:p>
      <w:pPr>
        <w:spacing w:lineRule="exact" w:line="600" w:before="0" w:after="0"/>
        <w:ind w:firstLine="420"/>
        <w:jc w:val="both"/>
      </w:pPr>
      <w:r>
        <w:rPr>
          <w:rFonts w:ascii="仿宋_GB2312" w:hAnsi="仿宋_GB2312" w:eastAsia="仿宋_GB2312"/>
          <w:b w:val="0"/>
          <w:color w:val="000000"/>
          <w:sz w:val="32"/>
        </w:rPr>
        <w:t>这一内外销结构是理解公司业务模式的关键：公司相当一部分纯碱产量以内部关联交易方式供应给金晶科技体系内的浮法玻璃、超白玻璃生产线，其余部分对外销售。内部销售确保了产销率与开工率的稳定，外部销售则决定了公司的市场化定价能力与超额利润空间。</w:t>
      </w:r>
    </w:p>
    <w:p>
      <w:pPr>
        <w:spacing w:lineRule="exact" w:line="600" w:before="0" w:after="0"/>
        <w:ind w:firstLine="420"/>
        <w:jc w:val="both"/>
      </w:pPr>
      <w:r>
        <w:rPr>
          <w:rFonts w:ascii="仿宋_GB2312" w:hAnsi="仿宋_GB2312" w:eastAsia="仿宋_GB2312"/>
          <w:b w:val="0"/>
          <w:color w:val="000000"/>
          <w:sz w:val="32"/>
        </w:rPr>
        <w:t>从产品维度看，公司收入构成以纯碱为绝对主体，小苏打为重要补充，热电联产的蒸汽与电力主要用于自用并对园区周边形成少量外供。食品添加剂、饲料添加剂等许可类业务规模相对有限，但显著提升了产品结构的附加值层次与抗周期能力——食品级小苏打的下游为食品加工、烘焙、乳业与养殖业，需求刚性强于工业品，价格波动相对平缓。</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第一大类产品为纯碱（碳酸钠，Na2CO3）。公司采用氨碱法（索尔维法）工艺，以原盐（卤水）、石灰石、氨为主要原料，产品分为轻质纯碱与重质纯碱。重质纯碱主要供应平板玻璃与光伏玻璃行业，轻质纯碱主要供应日用玻璃、洗涤剂、印染、冶金等行业。公司产品执行工业碳酸钠国家标准，优等品含量可达99.2%以上。</w:t>
      </w:r>
    </w:p>
    <w:p>
      <w:pPr>
        <w:spacing w:lineRule="exact" w:line="600" w:before="0" w:after="0"/>
        <w:ind w:firstLine="420"/>
        <w:jc w:val="both"/>
      </w:pPr>
      <w:r>
        <w:rPr>
          <w:rFonts w:ascii="仿宋_GB2312" w:hAnsi="仿宋_GB2312" w:eastAsia="仿宋_GB2312"/>
          <w:b w:val="0"/>
          <w:color w:val="000000"/>
          <w:sz w:val="32"/>
        </w:rPr>
        <w:t>第二大类产品为小苏打（碳酸氢钠，NaHCO3）。工业级小苏打主要用于烟气脱硫特别是干法脱硫工艺，是钢铁、水泥、垃圾焚烧发电等行业环保治理的关键药剂，受益于超低排放改造政策，需求增长稳定；食品级小苏打执行GB1886.2-2015标准，用于食品加工、烘焙膨松剂、饲料添加剂等领域，产品附加值高于工业级。</w:t>
      </w:r>
    </w:p>
    <w:p>
      <w:pPr>
        <w:spacing w:lineRule="exact" w:line="600" w:before="0" w:after="0"/>
        <w:ind w:firstLine="420"/>
        <w:jc w:val="both"/>
      </w:pPr>
      <w:r>
        <w:rPr>
          <w:rFonts w:ascii="仿宋_GB2312" w:hAnsi="仿宋_GB2312" w:eastAsia="仿宋_GB2312"/>
          <w:b w:val="0"/>
          <w:color w:val="000000"/>
          <w:sz w:val="32"/>
        </w:rPr>
        <w:t>第三大类为能源与公用工程服务。公司持有热力生产和供应、发电业务、输电业务、供（配）电业务许可，配套热电装置在满足自身蒸汽与电力需求的同时，可向园区提供公用工程服务，这既是化工联合装置降低单位能耗的必要配套，也构成园区一体化循环经济的基础环节。</w:t>
      </w:r>
    </w:p>
    <w:p>
      <w:pPr>
        <w:spacing w:lineRule="exact" w:line="600" w:before="0" w:after="0"/>
        <w:ind w:firstLine="420"/>
        <w:jc w:val="both"/>
      </w:pPr>
      <w:r>
        <w:rPr>
          <w:rFonts w:ascii="仿宋_GB2312" w:hAnsi="仿宋_GB2312" w:eastAsia="仿宋_GB2312"/>
          <w:b w:val="0"/>
          <w:color w:val="000000"/>
          <w:sz w:val="32"/>
        </w:rPr>
        <w:t>第四大类为生物基材料及日用化学品业务。公司经营范围涵盖生物基材料制造与销售、日用化学产品制造与销售、食品用洗涤剂生产，属于依托纯碱主业向下游延伸的储备方向，目前规模有限，未单独披露收入数据。</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结构呈现"关联方大客户+行业分散客户"的双层特征。第一层是集团内部客户，即金晶科技体系内的浮法玻璃、超白玻璃、TCO导电膜玻璃生产基地（山东本部、宁夏、滕州以及马来西亚基地的部分需求），这部分客户需求稳定、信用风险极低、回款可控，构成公司产销的"压舱石"。</w:t>
      </w:r>
    </w:p>
    <w:p>
      <w:pPr>
        <w:spacing w:lineRule="exact" w:line="600" w:before="0" w:after="0"/>
        <w:ind w:firstLine="420"/>
        <w:jc w:val="both"/>
      </w:pPr>
      <w:r>
        <w:rPr>
          <w:rFonts w:ascii="仿宋_GB2312" w:hAnsi="仿宋_GB2312" w:eastAsia="仿宋_GB2312"/>
          <w:b w:val="0"/>
          <w:color w:val="000000"/>
          <w:sz w:val="32"/>
        </w:rPr>
        <w:t>第二层是外部市场客户，主要包括：平板玻璃与光伏玻璃企业（重质纯碱）、日用玻璃与玻璃器皿企业、洗涤剂与合成洗涤剂生产企业、冶金与有色行业、印染与纺织助剂企业、水处理药剂企业；小苏打的外部客户则集中于钢铁与水泥企业的烟气治理、垃圾焚烧发电厂、食品与烘焙企业、乳制品与养殖饲料企业。此外，公司通过电商与经销平台开展中小批量销售，覆盖河北、上海、广东等地的化工贸易商。</w:t>
      </w:r>
    </w:p>
    <w:p>
      <w:pPr>
        <w:spacing w:lineRule="exact" w:line="600" w:before="0" w:after="0"/>
        <w:ind w:firstLine="420"/>
        <w:jc w:val="both"/>
      </w:pPr>
      <w:r>
        <w:rPr>
          <w:rFonts w:ascii="仿宋_GB2312" w:hAnsi="仿宋_GB2312" w:eastAsia="仿宋_GB2312"/>
          <w:b w:val="0"/>
          <w:color w:val="000000"/>
          <w:sz w:val="32"/>
        </w:rPr>
        <w:t>客户集中度方面，由于关联销售占比较高，公司对单一客户（集团内玻璃板块）的依赖度客观存在。这一结构的优点是订单稳定、账期可控；风险点在于当集团玻璃板块因房地产周期下行而减产时，公司的内部订单亦会同步收缩，形成产业链内部的风险共振。2024年至2025年上市公司玻璃业务承压，即在一定程度上向纯碱板块传导。</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氨碱法纯碱的成本结构中，原盐（或地下卤水）、石灰石、合成氨/液氨、动力煤（蒸汽与电力）是四大主要投入。公司最重要的资源优势在于紧邻渤海莱州湾的地下卤水资源，昌邑下营一带卤水储量丰富、浓度较高，公司可通过卤水管道直供大幅降低原盐采购与运输成本，这是内陆氨碱法企业难以复制的区位禀赋。</w:t>
      </w:r>
    </w:p>
    <w:p>
      <w:pPr>
        <w:spacing w:lineRule="exact" w:line="600" w:before="0" w:after="0"/>
        <w:ind w:firstLine="420"/>
        <w:jc w:val="both"/>
      </w:pPr>
      <w:r>
        <w:rPr>
          <w:rFonts w:ascii="仿宋_GB2312" w:hAnsi="仿宋_GB2312" w:eastAsia="仿宋_GB2312"/>
          <w:b w:val="0"/>
          <w:color w:val="000000"/>
          <w:sz w:val="32"/>
        </w:rPr>
        <w:t>石灰石采购主要来自山东省内鲁中地区的矿山企业，运距较短；动力煤采购依托山东沿海港口的海进江与环渤海煤炭调运体系，公司毗邻港口的区位使其在煤炭到厂成本上具备优势。金晶科技2024年年报披露，公司营业成本同比下降14.64%，主要系原（燃料）采购成本价格下降所致，说明原燃料价格的顺周期回落对公司成本端形成了实质性支撑。</w:t>
      </w:r>
    </w:p>
    <w:p>
      <w:pPr>
        <w:spacing w:lineRule="exact" w:line="600" w:before="0" w:after="0"/>
        <w:ind w:firstLine="420"/>
        <w:jc w:val="both"/>
      </w:pPr>
      <w:r>
        <w:rPr>
          <w:rFonts w:ascii="仿宋_GB2312" w:hAnsi="仿宋_GB2312" w:eastAsia="仿宋_GB2312"/>
          <w:b w:val="0"/>
          <w:color w:val="000000"/>
          <w:sz w:val="32"/>
        </w:rPr>
        <w:t>在采购管理上，公司纳入金晶集团统一的供应链管理体系，实行"生产降耗、供应降本、销售降费"的协同机制。2024年年报明确指出，海天公司安全环保稳定运行，上述三降协同效应显现，是化工板块在价格下行周期仍能实现1.88亿元净利润的重要原因。</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一期工程形成120万吨/年的纯碱生产能力，目前年产量达到110万吨左右，产能利用率约92%，处于行业较高水平。以国内纯碱总产能计，公司属于中大型纯碱生产企业，在山东省内位居前列，在全国氨碱法企业中具有一定规模地位。</w:t>
      </w:r>
    </w:p>
    <w:p>
      <w:pPr>
        <w:spacing w:lineRule="exact" w:line="600" w:before="0" w:after="0"/>
        <w:ind w:firstLine="420"/>
        <w:jc w:val="both"/>
      </w:pPr>
      <w:r>
        <w:rPr>
          <w:rFonts w:ascii="仿宋_GB2312" w:hAnsi="仿宋_GB2312" w:eastAsia="仿宋_GB2312"/>
          <w:b w:val="0"/>
          <w:color w:val="000000"/>
          <w:sz w:val="32"/>
        </w:rPr>
        <w:t>资源方面，公司依托渤海莱州湾地下卤水资源与邻近港口的双重优势，形成"资源在侧、港口在旁、园区在内"的区位组合。昌邑市是山东省为数不多的同时拥有两个省级化工产业园区（经济开发区下营化工产业园、龙池化工产业园）的县级市，园区配套的公用工程、危废处置、安全环保监测体系较为完备，为公司长期运行提供了合规载体。</w:t>
      </w:r>
    </w:p>
    <w:p>
      <w:pPr>
        <w:spacing w:lineRule="exact" w:line="600" w:before="0" w:after="0"/>
        <w:ind w:firstLine="420"/>
        <w:jc w:val="both"/>
      </w:pPr>
      <w:r>
        <w:rPr>
          <w:rFonts w:ascii="仿宋_GB2312" w:hAnsi="仿宋_GB2312" w:eastAsia="仿宋_GB2312"/>
          <w:b w:val="0"/>
          <w:color w:val="000000"/>
          <w:sz w:val="32"/>
        </w:rPr>
        <w:t>牌照与资质方面，公司持有食品添加剂生产许可、饲料添加剂生产许可、食品用洗涤剂生产许可、热力生产和供应许可、发电与输配电业务许可等许可类资质，并具备货物与技术进出口资格。公司为国家高新技术企业（已通过复评），拥有省级企业技术中心与市级重点实验室，是山东省重点用能与重点排污监管企业，环保与安全体系接受常态化监管。</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销售体系采取"直销为主、经销为辅、内外并举"的模式。对大型玻璃企业、洗涤剂企业等规模客户采取直销与年度框架协议方式，价格随行就市并按季度或月度调整；对中小客户与区域市场通过经销商、化工贸易商及B2B电商平台（如中国供应商平台的企业商铺）进行覆盖，形成从吨包（750公斤/袋）到小包装（25公斤/袋）的完整规格体系。</w:t>
      </w:r>
    </w:p>
    <w:p>
      <w:pPr>
        <w:spacing w:lineRule="exact" w:line="600" w:before="0" w:after="0"/>
        <w:ind w:firstLine="420"/>
        <w:jc w:val="both"/>
      </w:pPr>
      <w:r>
        <w:rPr>
          <w:rFonts w:ascii="仿宋_GB2312" w:hAnsi="仿宋_GB2312" w:eastAsia="仿宋_GB2312"/>
          <w:b w:val="0"/>
          <w:color w:val="000000"/>
          <w:sz w:val="32"/>
        </w:rPr>
        <w:t>出口业务方面，公司具备自营进出口资质与海关注册编码，可依托昌邑邻近的潍坊港、青岛港开展出口。集团层面，金晶科技2024年国外收入占比接近30%，海外销售网络与客户资源可对公司纯碱、小苏打产品的出口形成一定协同。</w:t>
      </w:r>
    </w:p>
    <w:p>
      <w:pPr>
        <w:spacing w:lineRule="exact" w:line="600" w:before="0" w:after="0"/>
        <w:ind w:firstLine="420"/>
        <w:jc w:val="both"/>
      </w:pPr>
      <w:r>
        <w:rPr>
          <w:rFonts w:ascii="仿宋_GB2312" w:hAnsi="仿宋_GB2312" w:eastAsia="仿宋_GB2312"/>
          <w:b w:val="0"/>
          <w:color w:val="000000"/>
          <w:sz w:val="32"/>
        </w:rPr>
        <w:t>品牌方面，公司"金晶"牌纯碱、小苏打在行业内具有较高辨识度，与"红三角""马兰""永利"等国内知名纯碱与小苏打品牌同台竞争。品牌溢价虽在大宗化学品领域体现有限，但在食品级小苏打等细分品类中能够形成客户黏性与准入门槛。</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2024年公司实现营业收入25.19亿元、净利润1.88亿元，净利率约7.5%，在2024年纯碱价格显著下行、行业普遍承压的背景下仍保持较好的盈利水平，反映出公司在成本控制与产销协同上的比较优势。以110万吨年产量与25.19亿元营业收入测算，公司吨均综合售价（含小苏打及热电等其他业务）约2290元/吨，与2024年国内纯碱市场均价走势基本吻合。</w:t>
      </w:r>
    </w:p>
    <w:p>
      <w:pPr>
        <w:spacing w:lineRule="exact" w:line="600" w:before="0" w:after="0"/>
        <w:ind w:firstLine="420"/>
        <w:jc w:val="both"/>
      </w:pPr>
      <w:r>
        <w:rPr>
          <w:rFonts w:ascii="仿宋_GB2312" w:hAnsi="仿宋_GB2312" w:eastAsia="仿宋_GB2312"/>
          <w:b w:val="0"/>
          <w:color w:val="000000"/>
          <w:sz w:val="32"/>
        </w:rPr>
        <w:t>市场占有率方面，全国纯碱总产能约在3800万吨至4000万吨区间，公司120万吨产能对应全国份额约3%左右，属于第二梯队中的优势企业；在氨碱法路线企业中，公司凭借卤水资源与港口区位的成本优势，成本曲线位置优于多数内陆同行。在山东省内，公司是产能规模居前的纯碱生产商，在环渤海区域市场具有较强的定价影响力。</w:t>
      </w:r>
    </w:p>
    <w:p>
      <w:pPr>
        <w:spacing w:lineRule="exact" w:line="600" w:before="0" w:after="0"/>
        <w:ind w:firstLine="420"/>
        <w:jc w:val="both"/>
      </w:pPr>
      <w:r>
        <w:rPr>
          <w:rFonts w:ascii="仿宋_GB2312" w:hAnsi="仿宋_GB2312" w:eastAsia="仿宋_GB2312"/>
          <w:b w:val="0"/>
          <w:color w:val="000000"/>
          <w:sz w:val="32"/>
        </w:rPr>
        <w:t>需要客观指出的是，2024年以来纯碱行业受下游房地产玻璃需求疲弱与光伏玻璃产能扩张放缓的双重影响，价格中枢明显下移，行业整体盈利收缩；金晶科技2024年年报明确说明，玻璃、纯碱销售价格同比下滑导致毛利率降低并计提存货跌价准备。公司未来的盈利弹性将主要取决于纯碱价格的周期性修复以及小苏打等高附加值产品占比的提升。</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法人主体，其单体完整财务报表未公开披露。为便于评估，本部分采用两个口径：一是控股股东金晶科技（600586.SH）经审计的合并财务数据，用于判断公司所处集团的整体财务健康度与偿债能力；二是金晶科技年报中单独披露的海天公司经营数据，用于判断公司自身的经营质量。</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061"/>
          </w:tcPr>
          <w:p>
            <w:pPr>
              <w:spacing w:lineRule="exact" w:line="600"/>
              <w:jc w:val="center"/>
            </w:pPr>
            <w:r/>
            <w:r>
              <w:rPr>
                <w:rFonts w:ascii="黑体" w:hAnsi="黑体" w:eastAsia="黑体"/>
                <w:b/>
                <w:color w:val="000000"/>
                <w:sz w:val="32"/>
              </w:rPr>
              <w:t>项目（合并口径）</w:t>
            </w:r>
          </w:p>
        </w:tc>
        <w:tc>
          <w:tcPr>
            <w:tcW w:type="dxa" w:w="1928"/>
          </w:tcPr>
          <w:p>
            <w:pPr>
              <w:spacing w:lineRule="exact" w:line="600"/>
              <w:jc w:val="center"/>
            </w:pPr>
            <w:r/>
            <w:r>
              <w:rPr>
                <w:rFonts w:ascii="黑体" w:hAnsi="黑体" w:eastAsia="黑体"/>
                <w:b/>
                <w:color w:val="000000"/>
                <w:sz w:val="32"/>
              </w:rPr>
              <w:t>2022年</w:t>
            </w:r>
          </w:p>
        </w:tc>
        <w:tc>
          <w:tcPr>
            <w:tcW w:type="dxa" w:w="1928"/>
          </w:tcPr>
          <w:p>
            <w:pPr>
              <w:spacing w:lineRule="exact" w:line="600"/>
              <w:jc w:val="center"/>
            </w:pPr>
            <w:r/>
            <w:r>
              <w:rPr>
                <w:rFonts w:ascii="黑体" w:hAnsi="黑体" w:eastAsia="黑体"/>
                <w:b/>
                <w:color w:val="000000"/>
                <w:sz w:val="32"/>
              </w:rPr>
              <w:t>2023年</w:t>
            </w:r>
          </w:p>
        </w:tc>
        <w:tc>
          <w:tcPr>
            <w:tcW w:type="dxa" w:w="1928"/>
          </w:tcPr>
          <w:p>
            <w:pPr>
              <w:spacing w:lineRule="exact" w:line="600"/>
              <w:jc w:val="center"/>
            </w:pPr>
            <w:r/>
            <w:r>
              <w:rPr>
                <w:rFonts w:ascii="黑体" w:hAnsi="黑体" w:eastAsia="黑体"/>
                <w:b/>
                <w:color w:val="000000"/>
                <w:sz w:val="32"/>
              </w:rPr>
              <w:t>2024年</w:t>
            </w:r>
          </w:p>
        </w:tc>
      </w:tr>
      <w:tr>
        <w:tc>
          <w:tcPr>
            <w:tcW w:type="dxa" w:w="3061"/>
          </w:tcPr>
          <w:p>
            <w:pPr>
              <w:spacing w:lineRule="exact" w:line="600"/>
              <w:jc w:val="center"/>
            </w:pPr>
            <w:r/>
            <w:r>
              <w:rPr>
                <w:rFonts w:ascii="仿宋_GB2312" w:hAnsi="仿宋_GB2312" w:eastAsia="仿宋_GB2312"/>
                <w:b w:val="0"/>
                <w:color w:val="000000"/>
                <w:sz w:val="32"/>
              </w:rPr>
              <w:t>营业总收入（亿元）</w:t>
            </w:r>
          </w:p>
        </w:tc>
        <w:tc>
          <w:tcPr>
            <w:tcW w:type="dxa" w:w="1928"/>
          </w:tcPr>
          <w:p>
            <w:pPr>
              <w:spacing w:lineRule="exact" w:line="600"/>
              <w:jc w:val="center"/>
            </w:pPr>
            <w:r/>
            <w:r>
              <w:rPr>
                <w:rFonts w:ascii="仿宋_GB2312" w:hAnsi="仿宋_GB2312" w:eastAsia="仿宋_GB2312"/>
                <w:b w:val="0"/>
                <w:color w:val="000000"/>
                <w:sz w:val="32"/>
              </w:rPr>
              <w:t>74.59</w:t>
            </w:r>
          </w:p>
        </w:tc>
        <w:tc>
          <w:tcPr>
            <w:tcW w:type="dxa" w:w="1928"/>
          </w:tcPr>
          <w:p>
            <w:pPr>
              <w:spacing w:lineRule="exact" w:line="600"/>
              <w:jc w:val="center"/>
            </w:pPr>
            <w:r/>
            <w:r>
              <w:rPr>
                <w:rFonts w:ascii="仿宋_GB2312" w:hAnsi="仿宋_GB2312" w:eastAsia="仿宋_GB2312"/>
                <w:b w:val="0"/>
                <w:color w:val="000000"/>
                <w:sz w:val="32"/>
              </w:rPr>
              <w:t>79.70</w:t>
            </w:r>
          </w:p>
        </w:tc>
        <w:tc>
          <w:tcPr>
            <w:tcW w:type="dxa" w:w="1928"/>
          </w:tcPr>
          <w:p>
            <w:pPr>
              <w:spacing w:lineRule="exact" w:line="600"/>
              <w:jc w:val="center"/>
            </w:pPr>
            <w:r/>
            <w:r>
              <w:rPr>
                <w:rFonts w:ascii="仿宋_GB2312" w:hAnsi="仿宋_GB2312" w:eastAsia="仿宋_GB2312"/>
                <w:b w:val="0"/>
                <w:color w:val="000000"/>
                <w:sz w:val="32"/>
              </w:rPr>
              <w:t>64.52</w:t>
            </w:r>
          </w:p>
        </w:tc>
      </w:tr>
      <w:tr>
        <w:tc>
          <w:tcPr>
            <w:tcW w:type="dxa" w:w="3061"/>
          </w:tcPr>
          <w:p>
            <w:pPr>
              <w:spacing w:lineRule="exact" w:line="600"/>
              <w:jc w:val="center"/>
            </w:pPr>
            <w:r/>
            <w:r>
              <w:rPr>
                <w:rFonts w:ascii="仿宋_GB2312" w:hAnsi="仿宋_GB2312" w:eastAsia="仿宋_GB2312"/>
                <w:b w:val="0"/>
                <w:color w:val="000000"/>
                <w:sz w:val="32"/>
              </w:rPr>
              <w:t>归母净利润（亿元）</w:t>
            </w:r>
          </w:p>
        </w:tc>
        <w:tc>
          <w:tcPr>
            <w:tcW w:type="dxa" w:w="1928"/>
          </w:tcPr>
          <w:p>
            <w:pPr>
              <w:spacing w:lineRule="exact" w:line="600"/>
              <w:jc w:val="center"/>
            </w:pPr>
            <w:r/>
            <w:r>
              <w:rPr>
                <w:rFonts w:ascii="仿宋_GB2312" w:hAnsi="仿宋_GB2312" w:eastAsia="仿宋_GB2312"/>
                <w:b w:val="0"/>
                <w:color w:val="000000"/>
                <w:sz w:val="32"/>
              </w:rPr>
              <w:t>3.56</w:t>
            </w:r>
          </w:p>
        </w:tc>
        <w:tc>
          <w:tcPr>
            <w:tcW w:type="dxa" w:w="1928"/>
          </w:tcPr>
          <w:p>
            <w:pPr>
              <w:spacing w:lineRule="exact" w:line="600"/>
              <w:jc w:val="center"/>
            </w:pPr>
            <w:r/>
            <w:r>
              <w:rPr>
                <w:rFonts w:ascii="仿宋_GB2312" w:hAnsi="仿宋_GB2312" w:eastAsia="仿宋_GB2312"/>
                <w:b w:val="0"/>
                <w:color w:val="000000"/>
                <w:sz w:val="32"/>
              </w:rPr>
              <w:t>4.62</w:t>
            </w:r>
          </w:p>
        </w:tc>
        <w:tc>
          <w:tcPr>
            <w:tcW w:type="dxa" w:w="1928"/>
          </w:tcPr>
          <w:p>
            <w:pPr>
              <w:spacing w:lineRule="exact" w:line="600"/>
              <w:jc w:val="center"/>
            </w:pPr>
            <w:r/>
            <w:r>
              <w:rPr>
                <w:rFonts w:ascii="仿宋_GB2312" w:hAnsi="仿宋_GB2312" w:eastAsia="仿宋_GB2312"/>
                <w:b w:val="0"/>
                <w:color w:val="000000"/>
                <w:sz w:val="32"/>
              </w:rPr>
              <w:t>0.60</w:t>
            </w:r>
          </w:p>
        </w:tc>
      </w:tr>
      <w:tr>
        <w:tc>
          <w:tcPr>
            <w:tcW w:type="dxa" w:w="3061"/>
          </w:tcPr>
          <w:p>
            <w:pPr>
              <w:spacing w:lineRule="exact" w:line="600"/>
              <w:jc w:val="center"/>
            </w:pPr>
            <w:r/>
            <w:r>
              <w:rPr>
                <w:rFonts w:ascii="仿宋_GB2312" w:hAnsi="仿宋_GB2312" w:eastAsia="仿宋_GB2312"/>
                <w:b w:val="0"/>
                <w:color w:val="000000"/>
                <w:sz w:val="32"/>
              </w:rPr>
              <w:t>每股收益（元）</w:t>
            </w:r>
          </w:p>
        </w:tc>
        <w:tc>
          <w:tcPr>
            <w:tcW w:type="dxa" w:w="1928"/>
          </w:tcPr>
          <w:p>
            <w:pPr>
              <w:spacing w:lineRule="exact" w:line="600"/>
              <w:jc w:val="center"/>
            </w:pPr>
            <w:r/>
            <w:r>
              <w:rPr>
                <w:rFonts w:ascii="仿宋_GB2312" w:hAnsi="仿宋_GB2312" w:eastAsia="仿宋_GB2312"/>
                <w:b w:val="0"/>
                <w:color w:val="000000"/>
                <w:sz w:val="32"/>
              </w:rPr>
              <w:t>0.25</w:t>
            </w:r>
          </w:p>
        </w:tc>
        <w:tc>
          <w:tcPr>
            <w:tcW w:type="dxa" w:w="1928"/>
          </w:tcPr>
          <w:p>
            <w:pPr>
              <w:spacing w:lineRule="exact" w:line="600"/>
              <w:jc w:val="center"/>
            </w:pPr>
            <w:r/>
            <w:r>
              <w:rPr>
                <w:rFonts w:ascii="仿宋_GB2312" w:hAnsi="仿宋_GB2312" w:eastAsia="仿宋_GB2312"/>
                <w:b w:val="0"/>
                <w:color w:val="000000"/>
                <w:sz w:val="32"/>
              </w:rPr>
              <w:t>0.33</w:t>
            </w:r>
          </w:p>
        </w:tc>
        <w:tc>
          <w:tcPr>
            <w:tcW w:type="dxa" w:w="1928"/>
          </w:tcPr>
          <w:p>
            <w:pPr>
              <w:spacing w:lineRule="exact" w:line="600"/>
              <w:jc w:val="center"/>
            </w:pPr>
            <w:r/>
            <w:r>
              <w:rPr>
                <w:rFonts w:ascii="仿宋_GB2312" w:hAnsi="仿宋_GB2312" w:eastAsia="仿宋_GB2312"/>
                <w:b w:val="0"/>
                <w:color w:val="000000"/>
                <w:sz w:val="32"/>
              </w:rPr>
              <w:t>0.04</w:t>
            </w:r>
          </w:p>
        </w:tc>
      </w:tr>
      <w:tr>
        <w:tc>
          <w:tcPr>
            <w:tcW w:type="dxa" w:w="3061"/>
          </w:tcPr>
          <w:p>
            <w:pPr>
              <w:spacing w:lineRule="exact" w:line="600"/>
              <w:jc w:val="center"/>
            </w:pPr>
            <w:r/>
            <w:r>
              <w:rPr>
                <w:rFonts w:ascii="仿宋_GB2312" w:hAnsi="仿宋_GB2312" w:eastAsia="仿宋_GB2312"/>
                <w:b w:val="0"/>
                <w:color w:val="000000"/>
                <w:sz w:val="32"/>
              </w:rPr>
              <w:t>经营活动现金流净额（亿元）</w:t>
            </w:r>
          </w:p>
        </w:tc>
        <w:tc>
          <w:tcPr>
            <w:tcW w:type="dxa" w:w="1928"/>
          </w:tcPr>
          <w:p>
            <w:pPr>
              <w:spacing w:lineRule="exact" w:line="600"/>
              <w:jc w:val="center"/>
            </w:pPr>
            <w:r/>
            <w:r>
              <w:rPr>
                <w:rFonts w:ascii="仿宋_GB2312" w:hAnsi="仿宋_GB2312" w:eastAsia="仿宋_GB2312"/>
                <w:b w:val="0"/>
                <w:color w:val="000000"/>
                <w:sz w:val="32"/>
              </w:rPr>
              <w:t>—</w:t>
            </w:r>
          </w:p>
        </w:tc>
        <w:tc>
          <w:tcPr>
            <w:tcW w:type="dxa" w:w="1928"/>
          </w:tcPr>
          <w:p>
            <w:pPr>
              <w:spacing w:lineRule="exact" w:line="600"/>
              <w:jc w:val="center"/>
            </w:pPr>
            <w:r/>
            <w:r>
              <w:rPr>
                <w:rFonts w:ascii="仿宋_GB2312" w:hAnsi="仿宋_GB2312" w:eastAsia="仿宋_GB2312"/>
                <w:b w:val="0"/>
                <w:color w:val="000000"/>
                <w:sz w:val="32"/>
              </w:rPr>
              <w:t>7.04</w:t>
            </w:r>
          </w:p>
        </w:tc>
        <w:tc>
          <w:tcPr>
            <w:tcW w:type="dxa" w:w="1928"/>
          </w:tcPr>
          <w:p>
            <w:pPr>
              <w:spacing w:lineRule="exact" w:line="600"/>
              <w:jc w:val="center"/>
            </w:pPr>
            <w:r/>
            <w:r>
              <w:rPr>
                <w:rFonts w:ascii="仿宋_GB2312" w:hAnsi="仿宋_GB2312" w:eastAsia="仿宋_GB2312"/>
                <w:b w:val="0"/>
                <w:color w:val="000000"/>
                <w:sz w:val="32"/>
              </w:rPr>
              <w:t>6.25</w:t>
            </w:r>
          </w:p>
        </w:tc>
      </w:tr>
    </w:tbl>
    <w:p>
      <w:pPr>
        <w:spacing w:lineRule="exact" w:line="600" w:before="0" w:after="0"/>
        <w:ind w:firstLine="420"/>
        <w:jc w:val="both"/>
      </w:pPr>
      <w:r>
        <w:rPr>
          <w:rFonts w:ascii="仿宋_GB2312" w:hAnsi="仿宋_GB2312" w:eastAsia="仿宋_GB2312"/>
          <w:b w:val="0"/>
          <w:color w:val="000000"/>
          <w:sz w:val="32"/>
        </w:rPr>
        <w:t>上表为金晶科技合并口径数据。2024年上市公司营业收入64.52亿元，同比下降19.04%；营业成本55.65亿元，同比下降14.64%；销售费用4138.67万元，同比下降11.90%；管理费用2.72亿元，同比下降14.50%；财务费用9157.73万元，同比下降10.79%；研发费用1.85亿元，同比下降22.86%；经营活动产生的现金流量净额6.25亿元，同比下降11.30%；投资活动现金流净额-3.92亿元；筹资活动现金流净额-1.62亿元。</w:t>
      </w:r>
    </w:p>
    <w:tbl>
      <w:tblPr>
        <w:tblStyle w:val="TableGrid"/>
        <w:tblW w:type="auto" w:w="0"/>
        <w:jc w:val="center"/>
        <w:tblLook w:firstColumn="1" w:firstRow="1" w:lastColumn="0" w:lastRow="0" w:noHBand="0" w:noVBand="1" w:val="04A0"/>
      </w:tblPr>
      <w:tblGrid>
        <w:gridCol w:w="4422"/>
        <w:gridCol w:w="4422"/>
      </w:tblGrid>
      <w:tr>
        <w:tc>
          <w:tcPr>
            <w:tcW w:type="dxa" w:w="4535"/>
          </w:tcPr>
          <w:p>
            <w:pPr>
              <w:spacing w:lineRule="exact" w:line="600"/>
              <w:jc w:val="center"/>
            </w:pPr>
            <w:r/>
            <w:r>
              <w:rPr>
                <w:rFonts w:ascii="黑体" w:hAnsi="黑体" w:eastAsia="黑体"/>
                <w:b/>
                <w:color w:val="000000"/>
                <w:sz w:val="32"/>
              </w:rPr>
              <w:t>项目（海天公司单体）</w:t>
            </w:r>
          </w:p>
        </w:tc>
        <w:tc>
          <w:tcPr>
            <w:tcW w:type="dxa" w:w="2835"/>
          </w:tcPr>
          <w:p>
            <w:pPr>
              <w:spacing w:lineRule="exact" w:line="600"/>
              <w:jc w:val="center"/>
            </w:pPr>
            <w:r/>
            <w:r>
              <w:rPr>
                <w:rFonts w:ascii="黑体" w:hAnsi="黑体" w:eastAsia="黑体"/>
                <w:b/>
                <w:color w:val="000000"/>
                <w:sz w:val="32"/>
              </w:rPr>
              <w:t>2024年</w:t>
            </w:r>
          </w:p>
        </w:tc>
      </w:tr>
      <w:tr>
        <w:tc>
          <w:tcPr>
            <w:tcW w:type="dxa" w:w="4535"/>
          </w:tcPr>
          <w:p>
            <w:pPr>
              <w:spacing w:lineRule="exact" w:line="600"/>
              <w:jc w:val="center"/>
            </w:pPr>
            <w:r/>
            <w:r>
              <w:rPr>
                <w:rFonts w:ascii="仿宋_GB2312" w:hAnsi="仿宋_GB2312" w:eastAsia="仿宋_GB2312"/>
                <w:b w:val="0"/>
                <w:color w:val="000000"/>
                <w:sz w:val="32"/>
              </w:rPr>
              <w:t>营业收入（亿元）</w:t>
            </w:r>
          </w:p>
        </w:tc>
        <w:tc>
          <w:tcPr>
            <w:tcW w:type="dxa" w:w="2835"/>
          </w:tcPr>
          <w:p>
            <w:pPr>
              <w:spacing w:lineRule="exact" w:line="600"/>
              <w:jc w:val="center"/>
            </w:pPr>
            <w:r/>
            <w:r>
              <w:rPr>
                <w:rFonts w:ascii="仿宋_GB2312" w:hAnsi="仿宋_GB2312" w:eastAsia="仿宋_GB2312"/>
                <w:b w:val="0"/>
                <w:color w:val="000000"/>
                <w:sz w:val="32"/>
              </w:rPr>
              <w:t>25.19</w:t>
            </w:r>
          </w:p>
        </w:tc>
      </w:tr>
      <w:tr>
        <w:tc>
          <w:tcPr>
            <w:tcW w:type="dxa" w:w="4535"/>
          </w:tcPr>
          <w:p>
            <w:pPr>
              <w:spacing w:lineRule="exact" w:line="600"/>
              <w:jc w:val="center"/>
            </w:pPr>
            <w:r/>
            <w:r>
              <w:rPr>
                <w:rFonts w:ascii="仿宋_GB2312" w:hAnsi="仿宋_GB2312" w:eastAsia="仿宋_GB2312"/>
                <w:b w:val="0"/>
                <w:color w:val="000000"/>
                <w:sz w:val="32"/>
              </w:rPr>
              <w:t>净利润（亿元）</w:t>
            </w:r>
          </w:p>
        </w:tc>
        <w:tc>
          <w:tcPr>
            <w:tcW w:type="dxa" w:w="2835"/>
          </w:tcPr>
          <w:p>
            <w:pPr>
              <w:spacing w:lineRule="exact" w:line="600"/>
              <w:jc w:val="center"/>
            </w:pPr>
            <w:r/>
            <w:r>
              <w:rPr>
                <w:rFonts w:ascii="仿宋_GB2312" w:hAnsi="仿宋_GB2312" w:eastAsia="仿宋_GB2312"/>
                <w:b w:val="0"/>
                <w:color w:val="000000"/>
                <w:sz w:val="32"/>
              </w:rPr>
              <w:t>1.88</w:t>
            </w:r>
          </w:p>
        </w:tc>
      </w:tr>
      <w:tr>
        <w:tc>
          <w:tcPr>
            <w:tcW w:type="dxa" w:w="4535"/>
          </w:tcPr>
          <w:p>
            <w:pPr>
              <w:spacing w:lineRule="exact" w:line="600"/>
              <w:jc w:val="center"/>
            </w:pPr>
            <w:r/>
            <w:r>
              <w:rPr>
                <w:rFonts w:ascii="仿宋_GB2312" w:hAnsi="仿宋_GB2312" w:eastAsia="仿宋_GB2312"/>
                <w:b w:val="0"/>
                <w:color w:val="000000"/>
                <w:sz w:val="32"/>
              </w:rPr>
              <w:t>净利率（%）</w:t>
            </w:r>
          </w:p>
        </w:tc>
        <w:tc>
          <w:tcPr>
            <w:tcW w:type="dxa" w:w="2835"/>
          </w:tcPr>
          <w:p>
            <w:pPr>
              <w:spacing w:lineRule="exact" w:line="600"/>
              <w:jc w:val="center"/>
            </w:pPr>
            <w:r/>
            <w:r>
              <w:rPr>
                <w:rFonts w:ascii="仿宋_GB2312" w:hAnsi="仿宋_GB2312" w:eastAsia="仿宋_GB2312"/>
                <w:b w:val="0"/>
                <w:color w:val="000000"/>
                <w:sz w:val="32"/>
              </w:rPr>
              <w:t>约7.5</w:t>
            </w:r>
          </w:p>
        </w:tc>
      </w:tr>
      <w:tr>
        <w:tc>
          <w:tcPr>
            <w:tcW w:type="dxa" w:w="4535"/>
          </w:tcPr>
          <w:p>
            <w:pPr>
              <w:spacing w:lineRule="exact" w:line="600"/>
              <w:jc w:val="center"/>
            </w:pPr>
            <w:r/>
            <w:r>
              <w:rPr>
                <w:rFonts w:ascii="仿宋_GB2312" w:hAnsi="仿宋_GB2312" w:eastAsia="仿宋_GB2312"/>
                <w:b w:val="0"/>
                <w:color w:val="000000"/>
                <w:sz w:val="32"/>
              </w:rPr>
              <w:t>纯碱产能（万吨/年）</w:t>
            </w:r>
          </w:p>
        </w:tc>
        <w:tc>
          <w:tcPr>
            <w:tcW w:type="dxa" w:w="2835"/>
          </w:tcPr>
          <w:p>
            <w:pPr>
              <w:spacing w:lineRule="exact" w:line="600"/>
              <w:jc w:val="center"/>
            </w:pPr>
            <w:r/>
            <w:r>
              <w:rPr>
                <w:rFonts w:ascii="仿宋_GB2312" w:hAnsi="仿宋_GB2312" w:eastAsia="仿宋_GB2312"/>
                <w:b w:val="0"/>
                <w:color w:val="000000"/>
                <w:sz w:val="32"/>
              </w:rPr>
              <w:t>120</w:t>
            </w:r>
          </w:p>
        </w:tc>
      </w:tr>
      <w:tr>
        <w:tc>
          <w:tcPr>
            <w:tcW w:type="dxa" w:w="4535"/>
          </w:tcPr>
          <w:p>
            <w:pPr>
              <w:spacing w:lineRule="exact" w:line="600"/>
              <w:jc w:val="center"/>
            </w:pPr>
            <w:r/>
            <w:r>
              <w:rPr>
                <w:rFonts w:ascii="仿宋_GB2312" w:hAnsi="仿宋_GB2312" w:eastAsia="仿宋_GB2312"/>
                <w:b w:val="0"/>
                <w:color w:val="000000"/>
                <w:sz w:val="32"/>
              </w:rPr>
              <w:t>纯碱年产量（万吨）</w:t>
            </w:r>
          </w:p>
        </w:tc>
        <w:tc>
          <w:tcPr>
            <w:tcW w:type="dxa" w:w="2835"/>
          </w:tcPr>
          <w:p>
            <w:pPr>
              <w:spacing w:lineRule="exact" w:line="600"/>
              <w:jc w:val="center"/>
            </w:pPr>
            <w:r/>
            <w:r>
              <w:rPr>
                <w:rFonts w:ascii="仿宋_GB2312" w:hAnsi="仿宋_GB2312" w:eastAsia="仿宋_GB2312"/>
                <w:b w:val="0"/>
                <w:color w:val="000000"/>
                <w:sz w:val="32"/>
              </w:rPr>
              <w:t>约110</w:t>
            </w:r>
          </w:p>
        </w:tc>
      </w:tr>
    </w:tbl>
    <w:p>
      <w:pPr>
        <w:spacing w:lineRule="exact" w:line="600" w:before="0" w:after="0"/>
        <w:ind w:firstLine="420"/>
        <w:jc w:val="both"/>
      </w:pPr>
      <w:r>
        <w:rPr>
          <w:rFonts w:ascii="仿宋_GB2312" w:hAnsi="仿宋_GB2312" w:eastAsia="仿宋_GB2312"/>
          <w:b w:val="0"/>
          <w:color w:val="000000"/>
          <w:sz w:val="32"/>
        </w:rPr>
        <w:t>需说明的是，第三方信用信息平台显示公司2024年"营业收入1680万元"，该数据系工商年报中部分口径填报值，与上市公司年报审计披露的25.19亿元存在明显差异。本报告以上市公司经审计年报披露数据为准，工商年报口径数据仅作参考，不作为分析依据。</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2024年在纯碱价格下行周期中实现净利润1.88亿元，净利率约7.5%，显著优于同期上市公司合并口径的净利率水平（金晶科技2024年归母净利润仅6047.62万元，净利率不足1%）。这表明在集团内部，化工（纯碱）板块是2024年的主要利润来源，而玻璃板块因房地产下行与光伏供需失衡承受了较大压力并计提了存货跌价准备。</w:t>
      </w:r>
    </w:p>
    <w:p>
      <w:pPr>
        <w:spacing w:lineRule="exact" w:line="600" w:before="0" w:after="0"/>
        <w:ind w:firstLine="420"/>
        <w:jc w:val="both"/>
      </w:pPr>
      <w:r>
        <w:rPr>
          <w:rFonts w:ascii="仿宋_GB2312" w:hAnsi="仿宋_GB2312" w:eastAsia="仿宋_GB2312"/>
          <w:b w:val="0"/>
          <w:color w:val="000000"/>
          <w:sz w:val="32"/>
        </w:rPr>
        <w:t>公司盈利能力的支撑因素有三：一是卤水资源自给带来的原料成本优势；二是热电联产带来的能源成本优势；三是与集团玻璃板块的内部协同带来的稳定产销率。制约因素同样明显：纯碱是典型的周期性大宗化学品，价格弹性远大于成本弹性，当纯碱价格从高位回落时，企业毛利被快速压缩，这也是2024年上市公司整体毛利率下滑的直接原因。</w:t>
      </w:r>
    </w:p>
    <w:p>
      <w:pPr>
        <w:spacing w:lineRule="exact" w:line="600" w:before="0" w:after="0"/>
        <w:ind w:firstLine="420"/>
        <w:jc w:val="both"/>
      </w:pPr>
      <w:r>
        <w:rPr>
          <w:rFonts w:ascii="仿宋_GB2312" w:hAnsi="仿宋_GB2312" w:eastAsia="仿宋_GB2312"/>
          <w:b w:val="0"/>
          <w:color w:val="000000"/>
          <w:sz w:val="32"/>
        </w:rPr>
        <w:t>从更长周期看，2025年金晶科技合并口径营业收入45.20亿元、归母净利润-5.85亿元，出现较大幅度亏损，说明玻璃与纯碱双主业在同一时点承受了行业下行压力。在此背景下，公司作为集团现金流与利润的相对稳定端，其经营韧性对上市公司整体具有重要的支撑意义，但亦难以完全对冲行业周期。</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固定资产为主体，120万吨/年纯碱装置及配套热电、卤水输送、码头与仓储设施构成核心资产。氨碱法装置属于重资产投入，折旧压力较大，但装置一旦达产并稳定运行，边际成本较低，规模效应显著。公司实缴资本13.70亿元，资本金充实度高，权益基础扎实。</w:t>
      </w:r>
    </w:p>
    <w:p>
      <w:pPr>
        <w:spacing w:lineRule="exact" w:line="600" w:before="0" w:after="0"/>
        <w:ind w:firstLine="420"/>
        <w:jc w:val="both"/>
      </w:pPr>
      <w:r>
        <w:rPr>
          <w:rFonts w:ascii="仿宋_GB2312" w:hAnsi="仿宋_GB2312" w:eastAsia="仿宋_GB2312"/>
          <w:b w:val="0"/>
          <w:color w:val="000000"/>
          <w:sz w:val="32"/>
        </w:rPr>
        <w:t>存货方面，纯碱行业具有明显的季节性累库特征，价格下行期存货跌价风险上升。金晶科技2024年年报已在合并层面计提存货跌价准备，公司作为主要生产主体，需持续关注库存周转天数与价格倒挂风险。应收账款方面，由于关联销售占比较高且外部客户以大型工业企业为主，账龄结构总体健康，但需关注玻璃行业客户在下行周期中的信用状况变化。</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单体资产负债率未公开披露。参考控股股东金晶科技合并口径，上市公司财务费用2024年为9157.73万元，同比下降10.79%，主要系借款利率下降所致，说明集团存在一定规模的有息负债但融资成本处于下行通道。上市公司2024年筹资活动现金流净额为-1.62亿元，表明报告期内以偿还债务与分红为主，未大规模新增融资。</w:t>
      </w:r>
    </w:p>
    <w:p>
      <w:pPr>
        <w:spacing w:lineRule="exact" w:line="600" w:before="0" w:after="0"/>
        <w:ind w:firstLine="420"/>
        <w:jc w:val="both"/>
      </w:pPr>
      <w:r>
        <w:rPr>
          <w:rFonts w:ascii="仿宋_GB2312" w:hAnsi="仿宋_GB2312" w:eastAsia="仿宋_GB2312"/>
          <w:b w:val="0"/>
          <w:color w:val="000000"/>
          <w:sz w:val="32"/>
        </w:rPr>
        <w:t>公司自身作为大型化工生产主体，通常存在项目建设期形成的长期借款以及日常经营所需的流动资金贷款、票据融资等。考虑到公司实缴资本13.70亿元、年营业收入25.19亿元、年净利润1.88亿元的规模，且背靠上市公司信用，公司整体偿债能力应处于稳健区间，具备较好的银行授信基础与债务承载空间。</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从集团合并口径看，2023年、2024年经营活动产生的现金流量净额分别为7.04亿元与6.25亿元，虽同比有所下降但绝对额保持在较高水平，且显著高于同期净利润，说明合并报表的盈利质量较好、折旧摊销规模较大、经营性回款效率较高，这与重资产化工企业的现金流特征相符。</w:t>
      </w:r>
    </w:p>
    <w:p>
      <w:pPr>
        <w:spacing w:lineRule="exact" w:line="600" w:before="0" w:after="0"/>
        <w:ind w:firstLine="420"/>
        <w:jc w:val="both"/>
      </w:pPr>
      <w:r>
        <w:rPr>
          <w:rFonts w:ascii="仿宋_GB2312" w:hAnsi="仿宋_GB2312" w:eastAsia="仿宋_GB2312"/>
          <w:b w:val="0"/>
          <w:color w:val="000000"/>
          <w:sz w:val="32"/>
        </w:rPr>
        <w:t>公司作为纯碱业务主体，其经营现金流的稳定性优于玻璃板块：一方面纯碱销售以现款与短账期为主，回款周期短；另一方面产品为连续生产的大宗品，产销匹配度高、库存周转较快。投资性现金流方面，公司在完成一期120万吨产能建设后，资本开支进入相对平稳期，维持性技改投入为主，自由现金流状况相对健康。</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纯碱行业主要上市公司对标，行业龙头产能规模在300万吨至500万吨量级，公司120万吨产能处于第二梯队。工艺路线上，联碱法企业受氯化铵副产品价格影响较大，天然碱法企业成本最低但受资源分布限制，氨碱法企业则介于两者之间且面临废液（白泥、废渣）处置的环保成本。公司通过卤水资源与港口区位的组合，在氨碱法阵营中处于成本曲线较优位置。</w:t>
      </w:r>
    </w:p>
    <w:p>
      <w:pPr>
        <w:spacing w:lineRule="exact" w:line="600" w:before="0" w:after="0"/>
        <w:ind w:firstLine="420"/>
        <w:jc w:val="both"/>
      </w:pPr>
      <w:r>
        <w:rPr>
          <w:rFonts w:ascii="仿宋_GB2312" w:hAnsi="仿宋_GB2312" w:eastAsia="仿宋_GB2312"/>
          <w:b w:val="0"/>
          <w:color w:val="000000"/>
          <w:sz w:val="32"/>
        </w:rPr>
        <w:t>与同处昌邑下营化工产业园的其他链主企业相比，公司2024年25.19亿元营业收入的规模显著高于园区内多数企业，是园区盐及盐化工产业链名副其实的链主。相较园区内的亚星新材料（新材料化工链主）、汉兴医药（新医药链主）、金典化工（精细化工链主），公司处于产业链最上游，业务模式更接近资源型加工，周期属性更强，但抗风险的资源壁垒也更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股东为金晶科技（99.6361%）与滕州金晶玻璃（0.3639%），公司治理纳入上市公司规范化治理体系。作为上市公司的重要控股子公司，公司在关联交易、对外担保、重大投资、财务核算与信息披露等方面须遵循中国证监会与上海证券交易所对上市公司的监管要求，其重大事项须履行上市公司内部决策程序并按规定披露，治理规范性明显高于一般非上市企业。</w:t>
      </w:r>
    </w:p>
    <w:p>
      <w:pPr>
        <w:spacing w:lineRule="exact" w:line="600" w:before="0" w:after="0"/>
        <w:ind w:firstLine="420"/>
        <w:jc w:val="both"/>
      </w:pPr>
      <w:r>
        <w:rPr>
          <w:rFonts w:ascii="仿宋_GB2312" w:hAnsi="仿宋_GB2312" w:eastAsia="仿宋_GB2312"/>
          <w:b w:val="0"/>
          <w:color w:val="000000"/>
          <w:sz w:val="32"/>
        </w:rPr>
        <w:t>公司法定代表人为王建民。公司董事、监事及高级管理人员的任免由控股股东按照公司章程与集团人事管理制度决定。公司在集团统一的内控体系下运行，接受上市公司审计委员会、内审部门以及外部会计师事务所的年度审计与专项检查。</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管理层由金晶集团体系内的职业经理人构成，具备较丰富的化工装置运营与安全环保管理经验。管理团队的核心考核指标包括安全环保零事故、装置长周期稳定运行、单位产品综合能耗与物耗、吨产品成本、产销率与回款率等，与集团"生产降耗、供应降本、销售降费"的经营方针相匹配。</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实行以安全生产为核心的全流程内控体系。作为涉及危险化学品生产与储存、拥有自备热电装置的重大危险源企业，公司须执行安全生产标准化、双重预防机制（风险分级管控与隐患排查治理）、重大危险源在线监测、特殊作业审批等制度，并纳入省市两级危化品安全监管平台。</w:t>
      </w:r>
    </w:p>
    <w:p>
      <w:pPr>
        <w:spacing w:lineRule="exact" w:line="600" w:before="0" w:after="0"/>
        <w:ind w:firstLine="420"/>
        <w:jc w:val="both"/>
      </w:pPr>
      <w:r>
        <w:rPr>
          <w:rFonts w:ascii="仿宋_GB2312" w:hAnsi="仿宋_GB2312" w:eastAsia="仿宋_GB2312"/>
          <w:b w:val="0"/>
          <w:color w:val="000000"/>
          <w:sz w:val="32"/>
        </w:rPr>
        <w:t>在环保方面，公司是氨碱法生产企业，蒸氨废液、白泥、氨氮排放是环保管理的关键控制点，须严格执行《纯碱工业污染物排放标准》与山东省更为严格的地方标准。公司通过ISO质量、环境与职业健康安全管理体系认证，配套建有污染物在线监测系统并与生态环境部门联网。金晶科技2024年年报明确表述"海天公司安全环保稳定运行"，反映出报告期内公司未发生重大安全环保事件。</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社保参保人数1208人（2025年度工商年报口径），人员规模处于1000至4999人区间，属于当地重要的用工主体。人员结构以生产运行与设备维护人员为主体，技术研发人员139人，研发人员占比约11.5%，在传统大宗化工企业中属于较高水平，为国家高新技术企业资格的持续保有提供了支撑。</w:t>
      </w:r>
    </w:p>
    <w:p>
      <w:pPr>
        <w:spacing w:lineRule="exact" w:line="600" w:before="0" w:after="0"/>
        <w:ind w:firstLine="420"/>
        <w:jc w:val="both"/>
      </w:pPr>
      <w:r>
        <w:rPr>
          <w:rFonts w:ascii="仿宋_GB2312" w:hAnsi="仿宋_GB2312" w:eastAsia="仿宋_GB2312"/>
          <w:b w:val="0"/>
          <w:color w:val="000000"/>
          <w:sz w:val="32"/>
        </w:rPr>
        <w:t>公司与中国科学院过程工程研究所等科研机构建立产学研合作关系，通过省级企业技术中心与市级重点实验室两个平台开展工艺优化、节能降耗与新产品开发。作为县域重化工企业，公司在高层次人才引进上面临一定的区位约束，主要通过集团统一的人才政策、当地政府人才补贴以及内部培养机制加以缓解。</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资源壁垒。公司紧邻渤海莱州湾地下卤水富集区，卤水可通过管道直供，省去原盐采购、运输与溶解环节，构成氨碱法生产中最难以复制的成本优势。同时公司位于沿海港口腹地，石灰石、煤炭到厂成本与产品外运成本均低于内陆同类企业。</w:t>
      </w:r>
    </w:p>
    <w:p>
      <w:pPr>
        <w:spacing w:lineRule="exact" w:line="600" w:before="0" w:after="0"/>
        <w:ind w:firstLine="420"/>
        <w:jc w:val="both"/>
      </w:pPr>
      <w:r>
        <w:rPr>
          <w:rFonts w:ascii="仿宋_GB2312" w:hAnsi="仿宋_GB2312" w:eastAsia="仿宋_GB2312"/>
          <w:b w:val="0"/>
          <w:color w:val="000000"/>
          <w:sz w:val="32"/>
        </w:rPr>
        <w:t>第二，产业链纵向一体化壁垒。公司作为上市公司金晶科技的纯碱业务主体，与集团玻璃业务形成"纯碱—玻璃"的上下游闭环。这一结构在纯碱价格上行时保障玻璃板块的原料成本，在纯碱价格下行时保障化工板块的产销率，具备天然的周期对冲功能，是单一业务企业不具备的结构性优势。</w:t>
      </w:r>
    </w:p>
    <w:p>
      <w:pPr>
        <w:spacing w:lineRule="exact" w:line="600" w:before="0" w:after="0"/>
        <w:ind w:firstLine="420"/>
        <w:jc w:val="both"/>
      </w:pPr>
      <w:r>
        <w:rPr>
          <w:rFonts w:ascii="仿宋_GB2312" w:hAnsi="仿宋_GB2312" w:eastAsia="仿宋_GB2312"/>
          <w:b w:val="0"/>
          <w:color w:val="000000"/>
          <w:sz w:val="32"/>
        </w:rPr>
        <w:t>第三，规模与成本壁垒。120万吨/年产能、约110万吨年产量、约92%的产能利用率，形成显著的规模经济。配套自备热电装置实现能源自给，进一步压低单位能耗成本。2024年营业成本同比下降14.64%的表现，印证了公司在原燃料采购与生产降耗上的执行力。</w:t>
      </w:r>
    </w:p>
    <w:p>
      <w:pPr>
        <w:spacing w:lineRule="exact" w:line="600" w:before="0" w:after="0"/>
        <w:ind w:firstLine="420"/>
        <w:jc w:val="both"/>
      </w:pPr>
      <w:r>
        <w:rPr>
          <w:rFonts w:ascii="仿宋_GB2312" w:hAnsi="仿宋_GB2312" w:eastAsia="仿宋_GB2312"/>
          <w:b w:val="0"/>
          <w:color w:val="000000"/>
          <w:sz w:val="32"/>
        </w:rPr>
        <w:t>第四，品牌与资质壁垒。"金晶"牌纯碱入选第一批"好品山东"品牌名单，产品间接应用于鸟巢、迪拜哈利法塔等地标建筑。公司持有食品添加剂、饲料添加剂、食品用洗涤剂等许可类生产资质，能够进入对质量与合规要求更高的食品级细分市场，这类资质的取得周期长、审核严，构成实质性准入门槛。</w:t>
      </w:r>
    </w:p>
    <w:p>
      <w:pPr>
        <w:spacing w:lineRule="exact" w:line="600" w:before="0" w:after="0"/>
        <w:ind w:firstLine="420"/>
        <w:jc w:val="both"/>
      </w:pPr>
      <w:r>
        <w:rPr>
          <w:rFonts w:ascii="仿宋_GB2312" w:hAnsi="仿宋_GB2312" w:eastAsia="仿宋_GB2312"/>
          <w:b w:val="0"/>
          <w:color w:val="000000"/>
          <w:sz w:val="32"/>
        </w:rPr>
        <w:t>第五，技术与研发壁垒。公司为国家高新技术企业（已通过复评），拥有省级企业技术中心与市级重点实验室，研发团队139人，与中科院过程工程研究所等开展产学研合作，在工艺节能、副产物综合利用、食品级产品开发等方向形成技术积累。</w:t>
      </w:r>
    </w:p>
    <w:p>
      <w:pPr>
        <w:spacing w:lineRule="exact" w:line="600" w:before="0" w:after="0"/>
        <w:ind w:firstLine="420"/>
        <w:jc w:val="both"/>
      </w:pPr>
      <w:r>
        <w:rPr>
          <w:rFonts w:ascii="仿宋_GB2312" w:hAnsi="仿宋_GB2312" w:eastAsia="仿宋_GB2312"/>
          <w:b w:val="0"/>
          <w:color w:val="000000"/>
          <w:sz w:val="32"/>
        </w:rPr>
        <w:t>第六，资金与信用壁垒。公司实缴资本13.70亿元，背靠A股上市公司，融资渠道包括银行贷款、票据、上市公司体系内的资金调剂以及潜在的债券与股权融资，融资成本与可得性优于区域内同类民营化工企业。</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（一）行业周期风险</w:t>
      </w:r>
    </w:p>
    <w:p>
      <w:pPr>
        <w:spacing w:lineRule="exact" w:line="600" w:before="0" w:after="0"/>
        <w:ind w:firstLine="420"/>
        <w:jc w:val="both"/>
      </w:pPr>
      <w:r>
        <w:rPr>
          <w:rFonts w:ascii="仿宋_GB2312" w:hAnsi="仿宋_GB2312" w:eastAsia="仿宋_GB2312"/>
          <w:b w:val="0"/>
          <w:color w:val="000000"/>
          <w:sz w:val="32"/>
        </w:rPr>
        <w:t>纯碱是强周期大宗化学品，价格受下游平板玻璃、光伏玻璃、日用玻璃需求与行业新增产能的双重影响。2024年以来，受房地产行业深度调整、光伏产业链供需失衡影响，玻璃需求疲弱，纯碱价格中枢显著下移；同时国内天然碱法新增产能集中释放，进一步加剧了供给端压力。金晶科技2024年年报已明确将纯碱价格下滑列为业绩下滑主因，2025年上市公司出现5.85亿元归母净亏损，行业下行压力具象化。应对措施上，公司通过提升小苏打等高附加值产品占比、强化成本管控、依托集团内部销售稳定开工率加以缓释。</w:t>
      </w:r>
    </w:p>
    <w:p>
      <w:pPr>
        <w:spacing w:lineRule="exact" w:line="600" w:before="120" w:after="120"/>
        <w:ind w:firstLine="420"/>
        <w:jc w:val="left"/>
      </w:pPr>
      <w:r>
        <w:rPr>
          <w:rFonts w:ascii="楷体_GB2312" w:hAnsi="楷体_GB2312" w:eastAsia="楷体_GB2312"/>
          <w:b w:val="0"/>
          <w:color w:val="000000"/>
          <w:sz w:val="32"/>
        </w:rPr>
        <w:t>（二）经营与成本风险</w:t>
      </w:r>
    </w:p>
    <w:p>
      <w:pPr>
        <w:spacing w:lineRule="exact" w:line="600" w:before="0" w:after="0"/>
        <w:ind w:firstLine="420"/>
        <w:jc w:val="both"/>
      </w:pPr>
      <w:r>
        <w:rPr>
          <w:rFonts w:ascii="仿宋_GB2312" w:hAnsi="仿宋_GB2312" w:eastAsia="仿宋_GB2312"/>
          <w:b w:val="0"/>
          <w:color w:val="000000"/>
          <w:sz w:val="32"/>
        </w:rPr>
        <w:t>公司成本受原盐（卤水）、石灰石、动力煤价格波动影响明显，其中动力煤价格弹性最大。若煤炭价格重回高位，公司热电自给的成本优势将被削弱。此外，氨碱法装置为连续生产装置，非计划停车将造成显著的直接与间接损失。公司通过设备预知性维护、长周期运行管理、原燃料战略储备与集中采购等方式管控上述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主要体现为三方面：一是价格下行期的存货跌价风险，上市公司2024年已在合并层面计提存货跌价准备；二是关联交易占比较高带来的收入结构集中风险，若集团玻璃板块继续减产，公司内部订单将同步收缩；三是重资产企业固有的折旧刚性，在低价周期中对利润形成压制。</w:t>
      </w:r>
    </w:p>
    <w:p>
      <w:pPr>
        <w:spacing w:lineRule="exact" w:line="600" w:before="120" w:after="120"/>
        <w:ind w:firstLine="420"/>
        <w:jc w:val="left"/>
      </w:pPr>
      <w:r>
        <w:rPr>
          <w:rFonts w:ascii="楷体_GB2312" w:hAnsi="楷体_GB2312" w:eastAsia="楷体_GB2312"/>
          <w:b w:val="0"/>
          <w:color w:val="000000"/>
          <w:sz w:val="32"/>
        </w:rPr>
        <w:t>（四）合规与环保安全风险</w:t>
      </w:r>
    </w:p>
    <w:p>
      <w:pPr>
        <w:spacing w:lineRule="exact" w:line="600" w:before="0" w:after="0"/>
        <w:ind w:firstLine="420"/>
        <w:jc w:val="both"/>
      </w:pPr>
      <w:r>
        <w:rPr>
          <w:rFonts w:ascii="仿宋_GB2312" w:hAnsi="仿宋_GB2312" w:eastAsia="仿宋_GB2312"/>
          <w:b w:val="0"/>
          <w:color w:val="000000"/>
          <w:sz w:val="32"/>
        </w:rPr>
        <w:t>公司属于危险化学品生产企业与重点排污单位，面临安全生产与环保双重高压监管。氨碱法特有的蒸氨废液与白泥处置、氨氮排放控制是环保管理的核心难点，随着山东省对沿海地区生态环境保护要求的持续加严，公司在环保设施投入与运行成本上可能持续增加。同时，公司位于沿海化工园区，须满足化工园区安全风险等级管控、危化品重大危险源监测预警等一系列监管要求。应对上，公司已通过高新技术企业复评并保持安全环保稳定运行记录，建立了较完善的HSE管理体系。</w:t>
      </w:r>
    </w:p>
    <w:p>
      <w:pPr>
        <w:spacing w:lineRule="exact" w:line="600" w:before="120" w:after="120"/>
        <w:ind w:firstLine="420"/>
        <w:jc w:val="left"/>
      </w:pPr>
      <w:r>
        <w:rPr>
          <w:rFonts w:ascii="楷体_GB2312" w:hAnsi="楷体_GB2312" w:eastAsia="楷体_GB2312"/>
          <w:b w:val="0"/>
          <w:color w:val="000000"/>
          <w:sz w:val="32"/>
        </w:rPr>
        <w:t>（五）管理与治理风险</w:t>
      </w:r>
    </w:p>
    <w:p>
      <w:pPr>
        <w:spacing w:lineRule="exact" w:line="600" w:before="0" w:after="0"/>
        <w:ind w:firstLine="420"/>
        <w:jc w:val="both"/>
      </w:pPr>
      <w:r>
        <w:rPr>
          <w:rFonts w:ascii="仿宋_GB2312" w:hAnsi="仿宋_GB2312" w:eastAsia="仿宋_GB2312"/>
          <w:b w:val="0"/>
          <w:color w:val="000000"/>
          <w:sz w:val="32"/>
        </w:rPr>
        <w:t>公司治理纳入上市公司体系，规范性较强，主要风险在于关联交易定价的公允性需持续接受监管与市场检验；同时，作为县域大型企业，公司在高层次技术与管理人才的吸引与保留上存在结构性挑战。</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基于公司"上市公司控股、大宗化工、重资产、稳定现金流、区域链主"的画像，山东投资体系可从四类业务切入开展协同：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对外销售客户以平板玻璃、日用玻璃、洗涤剂、钢铁与水泥（小苏打脱硫）等行业的规模企业为主，账期通常在30至90天，形成较为稳定的应收账款池。可为公司提供有追索权国内保理或反向保理服务，以真实贸易背景与确权应收账款为基础，帮助公司在纯碱价格下行、回款趋缓的周期中盘活流动资金、优化资产负债表账期结构。建议单笔额度按年度销售规模的15%至20%测算，重点选取信用资质良好的核心客户开展。</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公司处于昌邑下营化工产业园盐及盐化工产业链的链主地位，向园区内下游精细化工、新材料、医药化工企业提供基础原料，具备典型的"1+N"供应链金融场景。可依托公司的核心企业信用，为其下游中小客户提供订单融资、预付款融资与应收账款融资，既扩大公司销售半径与客户黏性，又将风险锚定在真实交易与核心企业信用之上。上游方面，可为公司的石灰石、煤炭供应商提供采购端保理，配合公司集中采购降本。</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为重资产企业，拥有纯碱主装置、热电机组、卤水输送系统、码头仓储等大量可辨识、可估值、通用性较强的固定资产，具备开展售后回租的良好基础。建议以热电机组、公用工程设备、大型转动设备为标的开展售后回租，租赁期3至5年，为公司置换高成本短期负债、补充中长期营运资金。直租方面，可对接公司节能降碳技改、环保设施升级、小苏打产能扩建等项目的设备采购需求，以直租方式介入。</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公司自身体量较大，小贷业务不宜直接服务母体，更适宜服务其生态圈：一是为公司的区域经销商、化工贸易商提供进货融资与周转贷款，额度在数十万元至数百万元区间，以订单与提货权为风控抓手；二是为公司周边配套的运输车队、包装材料供应商、检维修服务商等小微企业提供经营性贷款；三是为公司员工提供消费金融服务。上述业务可与保理、供应链金融形成客户交叉导流。</w:t>
      </w:r>
    </w:p>
    <w:p>
      <w:pPr>
        <w:spacing w:lineRule="exact" w:line="600" w:before="0" w:after="0"/>
        <w:ind w:firstLine="420"/>
        <w:jc w:val="both"/>
      </w:pPr>
      <w:r>
        <w:rPr>
          <w:rFonts w:ascii="仿宋_GB2312" w:hAnsi="仿宋_GB2312" w:eastAsia="仿宋_GB2312"/>
          <w:b w:val="0"/>
          <w:color w:val="000000"/>
          <w:sz w:val="32"/>
        </w:rPr>
        <w:t>综合建议：对公司主体宜采取"中长期融资租赁+供应链金融核心企业授信"的组合方案，总体授信规模可按其年营业收入的20%至30%（即5亿元至7.5亿元）作为上限进行分层测算，并以上市公司金晶科技的信用状况、担保安排以及纯碱行业景气度作为动态调整依据。风控要点在于：紧盯纯碱价格与库存变动、关注集团玻璃板块经营状况对内部订单的传导、监控上市公司整体资产负债率与流动性指标。</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海天生物化工有限公司是一家资源禀赋优越、规模效应显著、治理规范、在区域产业集群中处于链主地位的大型盐化工企业。公司背靠A股上市公司金晶科技，形成"纯碱—玻璃"纵向一体化的产业闭环，具备较强的周期对冲能力；120万吨/年产能与约110万吨年产量在全国纯碱行业中位居第二梯队前列；2024年在行业价格显著下行的背景下仍实现营业收入25.19亿元、净利润1.88亿元，是上市公司当年主要的利润来源，经营韧性得到验证。</w:t>
      </w:r>
    </w:p>
    <w:p>
      <w:pPr>
        <w:spacing w:lineRule="exact" w:line="600" w:before="0" w:after="0"/>
        <w:ind w:firstLine="420"/>
        <w:jc w:val="both"/>
      </w:pPr>
      <w:r>
        <w:rPr>
          <w:rFonts w:ascii="仿宋_GB2312" w:hAnsi="仿宋_GB2312" w:eastAsia="仿宋_GB2312"/>
          <w:b w:val="0"/>
          <w:color w:val="000000"/>
          <w:sz w:val="32"/>
        </w:rPr>
        <w:t>同时应清醒认识到，公司所处行业的周期性风险正在集中释放。2025年控股股东金晶科技出现5.85亿元归母净亏损，反映玻璃与纯碱双主业同步承压。公司作为集团内相对稳定的现金流来源，其未来表现将直接影响上市公司的经营安全边际。</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及控股股东公开规划与行业趋势判断，公司未来的主要发展方向包括：一是持续推进节能降耗与工艺优化，通过省级技术中心与产学研合作巩固成本领先地位；二是提升小苏打特别是食品级小苏打、脱硫专用小苏打等高附加值产品的产量占比，改善产品结构、平抑周期波动；三是深化与集团玻璃板块尤其是TCO导电膜玻璃、超白玻璃等高端产线的协同，绑定高附加值下游；四是依托昌邑化工园区"链式发展"的产业生态，向园区下游企业稳定输出基础原料，强化链主地位；五是探索生物基材料等经营范围内的储备方向，为长期转型预留空间。</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纯碱行业新增产能（特别是天然碱法产能）释放与需求疲弱的供需错配何时修复存在不确定性；二是房地产深度调整对平板玻璃需求的长期影响；三是氨碱法工艺在"双碳"目标下面临的能耗与碳排放约束，以及废液废渣处置的环保成本上升；四是集团层面亏损可能带来的资源配置与资本开支约束。</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结论：公司资质优良、资产扎实、现金流稳健、治理规范，属于可积极合作的优质客户，但需充分计量其所处行业的周期性风险与控股股东当期的经营压力。</w:t>
      </w:r>
    </w:p>
    <w:p>
      <w:pPr>
        <w:spacing w:lineRule="exact" w:line="600" w:before="0" w:after="0"/>
        <w:ind w:firstLine="420"/>
        <w:jc w:val="both"/>
      </w:pPr>
      <w:r>
        <w:rPr>
          <w:rFonts w:ascii="仿宋_GB2312" w:hAnsi="仿宋_GB2312" w:eastAsia="仿宋_GB2312"/>
          <w:b w:val="0"/>
          <w:color w:val="000000"/>
          <w:sz w:val="32"/>
        </w:rPr>
        <w:t>建议：一是以融资租赁（售后回租）与供应链金融为主要切入产品，避免单纯依赖信用类流动资金融资；二是授信方案设置与纯碱价格、公司开工率、上市公司资产负债率挂钩的动态触发条款；三是在园区层面推进"1+N"链主生态服务，将公司下游客户批量转化为保理与小贷客户，实现单点突破、生态覆盖；四是持续跟踪公司在食品级小苏打、生物基材料等高附加值方向的投入进展，把握其产品结构升级带来的新增融资需求；五是关注公司节能降碳与环保技改项目的设备采购计划，适时以直租方式介入。</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国家企业信用信息公示系统、天眼查、企查查、水滴信用、亿查猫等平台公开的工商登记信息（统一社会信用代码913707867544621728），含成立日期、注册资本、股东结构、股权穿透、经营范围、参保人数等。</w:t>
      </w:r>
    </w:p>
    <w:p>
      <w:pPr>
        <w:spacing w:lineRule="exact" w:line="600" w:before="0" w:after="0"/>
        <w:jc w:val="left"/>
      </w:pPr>
      <w:r>
        <w:rPr>
          <w:rFonts w:ascii="仿宋_GB2312" w:hAnsi="仿宋_GB2312" w:eastAsia="仿宋_GB2312"/>
          <w:b w:val="0"/>
          <w:color w:val="000000"/>
          <w:sz w:val="28"/>
        </w:rPr>
        <w:t>2. 山东金晶科技股份有限公司（600586.SH）2024年年度报告（上海证券交易所2025年4月19日披露），含营业收入、营业成本、三项费用、研发费用、现金流量、海天公司营业收入与净利润、品牌应用与"好品山东"入选情况等。</w:t>
      </w:r>
    </w:p>
    <w:p>
      <w:pPr>
        <w:spacing w:lineRule="exact" w:line="600" w:before="0" w:after="0"/>
        <w:jc w:val="left"/>
      </w:pPr>
      <w:r>
        <w:rPr>
          <w:rFonts w:ascii="仿宋_GB2312" w:hAnsi="仿宋_GB2312" w:eastAsia="仿宋_GB2312"/>
          <w:b w:val="0"/>
          <w:color w:val="000000"/>
          <w:sz w:val="28"/>
        </w:rPr>
        <w:t>3. 上海证券报·中国证券网《金晶科技2024年实现营收64.52亿元 深耕绿色能源、绿色建筑双赛道》（2025年4月），新浪财经转载《金晶科技2024年实现营收64.52亿元 差异化经营策略体现韧性》。</w:t>
      </w:r>
    </w:p>
    <w:p>
      <w:pPr>
        <w:spacing w:lineRule="exact" w:line="600" w:before="0" w:after="0"/>
        <w:jc w:val="left"/>
      </w:pPr>
      <w:r>
        <w:rPr>
          <w:rFonts w:ascii="仿宋_GB2312" w:hAnsi="仿宋_GB2312" w:eastAsia="仿宋_GB2312"/>
          <w:b w:val="0"/>
          <w:color w:val="000000"/>
          <w:sz w:val="28"/>
        </w:rPr>
        <w:t>4. 金晶科技最新年度报告主营业务构成数据（纯碱、建筑玻璃、技术玻璃收入及占比，国内外收入分布）。</w:t>
      </w:r>
    </w:p>
    <w:p>
      <w:pPr>
        <w:spacing w:lineRule="exact" w:line="600" w:before="0" w:after="0"/>
        <w:jc w:val="left"/>
      </w:pPr>
      <w:r>
        <w:rPr>
          <w:rFonts w:ascii="仿宋_GB2312" w:hAnsi="仿宋_GB2312" w:eastAsia="仿宋_GB2312"/>
          <w:b w:val="0"/>
          <w:color w:val="000000"/>
          <w:sz w:val="28"/>
        </w:rPr>
        <w:t>5. 百度百科"山东海天生物化工有限公司"词条及所引证的公司公开资料，含产能120万吨/年、年产量110万吨、氨碱法工艺、卤水资源、研发团队139人、省级技术中心与市级重点实验室、中科院过程工程研究所产学研合作等。</w:t>
      </w:r>
    </w:p>
    <w:p>
      <w:pPr>
        <w:spacing w:lineRule="exact" w:line="600" w:before="0" w:after="0"/>
        <w:jc w:val="left"/>
      </w:pPr>
      <w:r>
        <w:rPr>
          <w:rFonts w:ascii="仿宋_GB2312" w:hAnsi="仿宋_GB2312" w:eastAsia="仿宋_GB2312"/>
          <w:b w:val="0"/>
          <w:color w:val="000000"/>
          <w:sz w:val="28"/>
        </w:rPr>
        <w:t>6. 大众网·海报新闻《潍坊昌邑：创新驱动高端化工产业链绿色崛起》《潍坊昌邑：做好"链"文章 培植壮大化工产业》《潍坊昌邑：特色产品"抢滩登陆"海外市场》等地方媒体报道，含下营化工产业园四条产业链与链主企业布局。</w:t>
      </w:r>
    </w:p>
    <w:p>
      <w:pPr>
        <w:spacing w:lineRule="exact" w:line="600" w:before="0" w:after="0"/>
        <w:jc w:val="left"/>
      </w:pPr>
      <w:r>
        <w:rPr>
          <w:rFonts w:ascii="仿宋_GB2312" w:hAnsi="仿宋_GB2312" w:eastAsia="仿宋_GB2312"/>
          <w:b w:val="0"/>
          <w:color w:val="000000"/>
          <w:sz w:val="28"/>
        </w:rPr>
        <w:t>7. 公司在中国供应商等B2B平台的企业商铺公开产品与规格信息。</w:t>
      </w:r>
    </w:p>
    <w:p>
      <w:pPr>
        <w:spacing w:lineRule="exact" w:line="600" w:before="0" w:after="0"/>
        <w:jc w:val="left"/>
      </w:pPr>
      <w:r>
        <w:rPr>
          <w:rFonts w:ascii="仿宋_GB2312" w:hAnsi="仿宋_GB2312" w:eastAsia="仿宋_GB2312"/>
          <w:b w:val="0"/>
          <w:color w:val="000000"/>
          <w:sz w:val="28"/>
        </w:rPr>
        <w:t>特别说明：公司为非上市法人主体，除控股上市公司年报中单独披露的营业收入与净利润外，其单体资产负债表、利润表、现金流量表未公开披露，本报告未对未披露财务数据作任何推算或拟制。第三方信用平台显示的"2024年营业收入1680万元"与上市公司审计披露数据差异较大，本报告以上市公司年报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