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山东烟台福山（汽车零部件）特色产业集群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山东上汽汽车变速器有限公司企业分析报告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企查查/启信宝公开数据及上海汽车变速器有限公司、上汽集团公开资料。山东上汽汽车变速器有限公司为上海汽车变速器有限公司全资子公司，属上汽集团（上海市国资委监管）体系，其单独财务数据未公开披露（企业年报资产状况选择不公示），已在文中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上汽汽车变速器有限公司成立于2004年10月20日，统一社会信用代码为91370611767784349N，法定代表人叶彪，注册资本38,000万元人民币（已全额实缴），企业类型为有限责任公司（自然人投资或控股的法人独资）。注册地址位于山东省烟台市福山高新技术产业区永达街969号，登记机关为烟台市福山区市场监督管理局，经营状态为存续（在营）。公司经营范围为：汽车变速器总成及其零部件的设计、生产、制造、销售。参保人数308人（2024年工商年报），企业规模为中型，增值税一般纳税人。</w:t>
      </w:r>
    </w:p>
    <w:p>
      <w:pPr>
        <w:spacing w:lineRule="exact" w:line="600" w:before="0" w:after="0"/>
        <w:ind w:firstLine="420"/>
        <w:jc w:val="both"/>
      </w:pPr>
      <w:r>
        <w:rPr>
          <w:rFonts w:ascii="仿宋_GB2312" w:hAnsi="仿宋_GB2312" w:eastAsia="仿宋_GB2312"/>
          <w:b w:val="0"/>
          <w:color w:val="000000"/>
          <w:sz w:val="32"/>
        </w:rPr>
        <w:t>股权结构：公司由上海汽车变速器有限公司持股100%，为法人独资企业。向上穿透，上海汽车变速器有限公司为上海汽车工业（集团）有限公司（上汽集团）体系成员企业；上汽集团为上海市国有资产监督管理委员会监管的国有控股上市公司（600104.SH），故公司实际控制人为上海市国资委。</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系上汽集团变速器业务板块在山东福山的重要生产基地，隶属于上海汽车变速器有限公司。上汽变速器是国内主要的汽车变速器研发制造企业，山东基地承担手动与自动变速器总成及关键零部件的制造任务，是福山汽车零部件特色产业集群的骨干企业。</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关键节点：2004年10月公司注册成立，作为上汽变速器在烟台的制造基地；历经多年发展，建成变速器总成及零部件产线；2022年获评市级企业技术中心，2023年认定为国家级高新技术企业，2026年入选市级基础级智能工厂。公司曾经历多轮工商变更（含高级管理人员备案调整，2025年取消监事并参照集团章程指引修订）。</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上汽集团体系内汽车动力与传动部件核心制造基地，主营业务为汽车变速器总成及其零部件的设计、生产与制造，产品配套上汽集团旗下整车企业及外部客户，是福山汽车零部件集群中动力传动环节的代表企业。</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聚焦于汽车变速器总成及零部件，按产品结构可分为变速器总成、齿轮、轴类、壳体等关键零部件。具体收入构成数据未公开披露，但作为上汽变速器全资子公司，其产出主要对内配套上汽整车及对外销售变速器零部件。</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主要产品包括：汽车手动/自动变速器总成、变速器齿轮、传动轴、离合器及相关精密零部件，覆盖乘用车与轻型商用车动力传动需求。</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公司下游客户以上汽集团旗下整车企业（如上汽通用、上汽大众、上汽乘用车等）为主，并面向外部变速器及零部件客户销售。依托上汽体系，客户信用与订单稳定性较强，但亦存在对集团内客户的依赖。</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关键采购包括精密钢材、齿轮坯料、轴承、电子控制单元等，由上海汽车变速器有限公司统一供应链体系管理，供应商准入与质量管控严格（IATF 16949体系）。</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公司位于福山高新技术产业区，具备变速器总成及零部件制造产线，2026年入选市级基础级智能工厂；拥有国家级高新技术企业、市级企业技术中心等资质，具备IATF 16949汽车行业质量体系认证（以实际为准）。</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销售以配套上汽集团整车厂为主，采用集团内协同配套与对外直销相结合的模式，渠道稳定。</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公司单独经营与财务数据未公开披露。从行业看，上汽变速器在国内变速器市场占有重要地位，山东基地是其核心制造节点之一；具体产销与市占率无公开权威数据。</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山东上汽汽车变速器有限公司为有限责任公司（法人独资），其企业年度报告中的资产状况信息（资产总额、营业总收入、净利润、负债总额等）选择“不公示”，故公司近三年单独财务数据未公开披露。</w:t>
      </w:r>
    </w:p>
    <w:p>
      <w:pPr>
        <w:spacing w:lineRule="exact" w:line="600" w:before="0" w:after="0"/>
        <w:jc w:val="left"/>
      </w:pPr>
      <w:r>
        <w:rPr>
          <w:rFonts w:ascii="仿宋_GB2312" w:hAnsi="仿宋_GB2312" w:eastAsia="仿宋_GB2312"/>
          <w:b w:val="0"/>
          <w:color w:val="000000"/>
          <w:sz w:val="28"/>
        </w:rPr>
        <w:t>注：因公司未公示单独财务数据，本节不列示会计数据表，以避免编造数字。相关背景可参考母公司上海汽车变速器有限公司及上汽集团（600104.SH）公开财报，但非本公司直接可比数据，故不列示。</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缺乏单独披露数据，本文不作量化盈利分析。定性看，公司盈利与上汽整车产销及变速器配套量高度相关。</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公司注册资本3.80亿元且全额实缴，资本充实；资产质量因数据未公示无法量化，但依托上汽体系，资产管理规范。</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负债与偿债能力数据未公开披露。考虑到上汽集团信用支持，公司整体信用风险较低。</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现金流数据未公开披露。</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因可比数据缺失，以定性说明：相较福山集群内博世华域（合资转向龙头）、延锋（座椅）等，山东上汽的优势在于上汽集团内配套订单稳定；短板在于单独财务透明度较低。</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公司为一人有限责任公司，设董事长（叶彪）及董事、总经理（浦兵），治理纳入上海汽车变速器有限公司及上汽集团统一的国资监管与内控体系。作为国有控股企业，公司执行“三重一大”决策制度。</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法定代表人、董事长叶彪；董事兼总经理浦兵；董事夏小岩、朱卫龙、黄皆捷等。核心管理层来自上汽变速器体系。</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公司落实上汽集团及国资监管要求，建立党组织，执行“三重一大”集体决策与党组织前置研究机制；财务、采购、投资纳入集团统一内控与合规管理。</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公司参保人数308人（2024年），属中型企业用工，以研发、工艺与制造技术工人为主；依托国家级高新技术企业、市级企业技术中心平台开展人才队伍建设，技术工人享有上汽体系培训通道。</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集团配套与品牌：背靠上汽集团，变速器总成稳定配套集团整车，订单与品牌优势显著。二是技术与资质：国家级高新技术企业、市级企业技术中心、智能工厂，具备变速器总成研发制造能力。三是质量体系：遵循IATF 16949等汽车质量体系，制造过程管控严格。四是规模与成本：依托集团统一采购与规模化制造，具备成本优势。</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客户集中风险：产出的主要配套对象为上汽集团内整车企业，对集团内客户依赖度高，集团整车产销波动将直接影响公司。二是行业转型风险：汽车电动化趋势下，传统燃油车变速器需求长期承压，新能源减速器/多挡电驱变速箱转型压力较大。三是财务不透明风险：单独财务未披露，外部对其独立偿债能力判断受限。四是技术迭代风险：自动变速器、电驱系统技术迭代快，需持续研发投入。公司依托上汽体系的技术协同与新能源转型布局应对上述风险。</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结合山东投资（保理、供应链金融、融资租赁、小贷）业务，协同方向包括：（一）供应链金融/保理：公司钢材、零部件采购规模大，可基于真实贸易背景开展采购保理，盘活营运资金；（二）融资租赁：变速器精密加工与检测设备投入可观，可通过融资租赁优化资产结构；（三）小额贷款：面向本地中小零部件配套供应商提供周转贷款，稳定供应链；（四）产线升级融资：围绕智能工厂与新能源电驱转型的设备投资，可探讨项目融资。鉴于公司属上汽国有体系、信用良好，相关业务风险相对可控。</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综合评价：山东上汽汽车变速器有限公司是上汽集团在福山汽车零部件集群的动力传动核心企业，具备集团配套、技术与资质三重优势，经营稳健。</w:t>
      </w:r>
    </w:p>
    <w:p>
      <w:pPr>
        <w:spacing w:lineRule="exact" w:line="600" w:before="0" w:after="0"/>
        <w:ind w:firstLine="420"/>
        <w:jc w:val="both"/>
      </w:pPr>
      <w:r>
        <w:rPr>
          <w:rFonts w:ascii="仿宋_GB2312" w:hAnsi="仿宋_GB2312" w:eastAsia="仿宋_GB2312"/>
          <w:b w:val="0"/>
          <w:color w:val="000000"/>
          <w:sz w:val="32"/>
        </w:rPr>
        <w:t>发展展望：短期受益于上汽整车产销恢复；中长期须把握汽车电动化趋势，加快向新能源减速器/电驱变速箱转型，方能持续成长。</w:t>
      </w:r>
    </w:p>
    <w:p>
      <w:pPr>
        <w:spacing w:lineRule="exact" w:line="600" w:before="0" w:after="0"/>
        <w:ind w:firstLine="420"/>
        <w:jc w:val="both"/>
      </w:pPr>
      <w:r>
        <w:rPr>
          <w:rFonts w:ascii="仿宋_GB2312" w:hAnsi="仿宋_GB2312" w:eastAsia="仿宋_GB2312"/>
          <w:b w:val="0"/>
          <w:color w:val="000000"/>
          <w:sz w:val="32"/>
        </w:rPr>
        <w:t>挑战与建议：建议（1）加大新能源传动系统研发投入，顺应电动化趋势；（2）在合规前提下提升经营数据透明度，便于外部产融合作；（3）山东投资可优先以供应链金融、融资租赁切入，依托上汽信用开展稳健合作。</w:t>
      </w:r>
    </w:p>
    <w:p>
      <w:pPr>
        <w:spacing w:lineRule="exact" w:line="600" w:before="0" w:after="0"/>
        <w:jc w:val="left"/>
      </w:pPr>
      <w:r>
        <w:rPr>
          <w:rFonts w:ascii="仿宋_GB2312" w:hAnsi="仿宋_GB2312" w:eastAsia="仿宋_GB2312"/>
          <w:b w:val="0"/>
          <w:color w:val="000000"/>
          <w:sz w:val="28"/>
        </w:rPr>
        <w:t>数据来源说明：本报告的工商与股权信息来源于国家企业信用信息公示系统、天眼查、企查查及启信宝公开数据；股权穿透与实际控制人信息来源于启信宝股权穿透（上海市国资委为最终受益人）及上汽集团公开资料；资质与荣誉信息来源于企查查、公开新闻报道；财务数据因公司未公示而无法获取，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