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山东烟台福山（汽车零部件）特色产业集群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延锋（烟台）座椅系统有限公司企业分析报告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爱企查公开数据及延锋国际座椅系统有限公司、上汽集团公开资料。延锋（烟台）座椅系统有限公司为延锋国际座椅系统有限公司全资子公司（属上汽集团/华域汽车体系），其单独财务数据未公开披露，已在文中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延锋（烟台）座椅系统有限公司成立于2008年8月15日，统一社会信用代码为91370611679209897E，法定代表人李占岭，注册资本3,500万元人民币（已全额实缴），企业类型为有限责任公司（非自然人投资或控股的法人独资）。注册地址位于山东省烟台市福山区台北南路123号，登记机关为烟台市福山区市场监督管理局，经营状态为开业。公司经营范围为：许可项目货物进出口、技术进出口；一般项目汽车零部件及配件制造，汽车零配件批发与零售，非居住房地产租赁。参保人数98人（2025年），企业类型为小微企业。曾用名包括延锋（烟台）座椅有限公司、延锋安道拓（烟台）座椅有限公司、烟台延锋江森座椅有限责任公司。</w:t>
      </w:r>
    </w:p>
    <w:p>
      <w:pPr>
        <w:spacing w:lineRule="exact" w:line="600" w:before="0" w:after="0"/>
        <w:ind w:firstLine="420"/>
        <w:jc w:val="both"/>
      </w:pPr>
      <w:r>
        <w:rPr>
          <w:rFonts w:ascii="仿宋_GB2312" w:hAnsi="仿宋_GB2312" w:eastAsia="仿宋_GB2312"/>
          <w:b w:val="0"/>
          <w:color w:val="000000"/>
          <w:sz w:val="32"/>
        </w:rPr>
        <w:t>股权结构：公司由延锋国际座椅系统有限公司持股100%，后者由延锋国际汽车技术有限公司持股100%，延锋国际汽车技术有限公司为华域汽车（上汽集团控股）体系企业。因此公司实际控制人为上汽集团（上海市国资委监管），属国有控股零部件体系。</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公司系延锋（Yanfeng）座椅业务在烟台的制造基地。延锋是全球领先的汽车内饰与座椅供应商，烟台基地承担汽车座椅系统的研发与制造，是福山汽车零部件集群中汽车内饰与座椅环节的代表企业。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关键节点：2008年8月公司注册成立（曾用名烟台延锋江森座椅、延锋安道拓（烟台）座椅等，反映其与江森/Adient的历史合资背景）；历经多次工商变更（名称、法定代表人、注册资本等）；2026年获得市级基础级智能工厂认定。公司由历史合资逐步演化为延锋全资体系内的座椅制造节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延锋体系内汽车座椅系统研发与制造企业，主营业务为汽车零部件及配件制造（汽车座椅系统），并提供汽车零配件批发、零售及进出口业务，是福山汽车零部件集群中汽车电子电气与内饰部件环节的重要代表。</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公司业务聚焦汽车座椅系统（含座椅骨架、发泡、面套、滑轨调节机构等）的研发与制造，并配套提供零配件批发零售。具体收入构成数据未公开披露。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主要产品为汽车座椅系统总成及关键零部件，公开专利显示其拥有“座椅倾滑避让系统的并联解锁机构”“座椅靠背骨架的连接结构”等专利技术，体现座椅结构设计与制造的专业能力。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公司下游客户主要为上汽集团旗下整车企业及国内主流整车厂，依托延锋统一的客户体系配套供货，客户信用与订单稳定性较强。具体客户明细未公开披露。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关键采购包括钢材、面料、发泡原料、滑轨及调节电机等，由延锋统一供应链体系管理，遵循IATF 16949等汽车质量体系。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公司位于福山区台北南路，具备汽车座椅制造产线，2026年获市级基础级智能工厂认定；拥有多项座椅结构相关专利；属小微企业，生产组织灵活。</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销售以配套整车厂为主，依托延锋全国统一市场与供应链体系直销，并开展零配件批发零售及进出口。</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公司单独经营与财务数据未公开披露。作为延锋体系内区域座椅制造节点，其产出服务于上汽及外部整车客户；具体产销与市占率无公开权威数据。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延锋（烟台）座椅系统有限公司为有限责任公司（法人独资），其企业年度报告中的资产状况信息（资产总额、营业总收入、净利润、负债总额等）选择“不公示”，故公司近三年单独财务数据未公开披露。</w:t>
      </w:r>
    </w:p>
    <w:p>
      <w:pPr>
        <w:spacing w:lineRule="exact" w:line="600" w:before="0" w:after="0"/>
        <w:jc w:val="left"/>
      </w:pPr>
      <w:r>
        <w:rPr>
          <w:rFonts w:ascii="仿宋_GB2312" w:hAnsi="仿宋_GB2312" w:eastAsia="仿宋_GB2312"/>
          <w:b w:val="0"/>
          <w:color w:val="000000"/>
          <w:sz w:val="28"/>
        </w:rPr>
        <w:t>注：因公司未公示单独财务数据，本节不列示会计数据表，以避免编造数字。相关背景可参考延锋国际、华域汽车（600741.SH）公开财报，但非本公司直接可比数据，故不列示。</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缺乏单独披露数据，本文不作量化盈利分析。定性看，公司盈利与配套整车产销及延锋整体趋势相关。</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公司注册资本3,500万元且全额实缴，资本充实；资产质量因数据未公示无法量化，但依托延锋体系，资产管理规范。</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负债与偿债能力数据未公开披露。考虑到延锋/上汽体系信用支持，公司整体信用风险较低。</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因可比数据缺失，以定性说明：相较福山集群内博世华域（转向龙头，体量大）、山东上汽（变速器），延锋（烟台）座椅体量较小（小微企业），但依托延锋全球座椅龙头地位，具备技术与客户协同优势。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公司为一人有限责任公司，设法定代表人李占岭及经营管理机构，治理纳入延锋国际座椅系统有限公司及上汽/华域汽车统一的国资监管与内控体系，执行“三重一大”决策制度。</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法定代表人李占岭（关联企业38家，延锋体系高管）；公司设执行董事/总经理及监事（历史曾设储建军等监事，2026年4月主要人员变更）。核心管理层来自延锋体系。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公司落实上汽/华域汽车及国资监管要求，建立党组织，执行“三重一大”集体决策与党组织前置研究机制；财务、采购、投资纳入延锋统一内控与合规管理。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公司参保人数98人（2025年），属小微企业用工，以研发、工艺与制造技术工人为主；依托延锋体系的技术培训与职业发展通道开展人才建设。</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集团品牌与客户：背靠延锋（全球汽车内饰与座椅龙头）及上汽集团，座椅系统稳定配套主流整车，客户与品牌优势突出。二是技术与专利：拥有座椅结构相关专利（如并联解锁机构、靠背骨架连接结构），研发能力扎实。三是质量体系：遵循IATF 16949等汽车质量体系，制造管控严格。四是智能工厂：2026年获市级基础级智能工厂认定，制造数字化水平提升。</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客户集中风险：配套以上汽及延锋体系客户为主，对集团内客户存在依赖。二是行业转型风险：汽车座椅向智能化、轻量化、电动化（零重力座椅等）演进，需持续投入。三是财务不透明风险：单独财务未披露，外部对其独立偿债判断受限。四是体量偏小风险：作为小微企业，抗周期能力相对有限。公司依托延锋技术协同与智能工厂升级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结合山东投资（保理、供应链金融、融资租赁、小贷）业务，协同方向包括：（一）供应链金融/保理：座椅面料、滑轨等采购规模可观，可基于真实贸易背景开展采购保理；（二）融资租赁：座椅发泡、装配线及检测设备投入可通过融资租赁优化资产结构；（三）小额贷款：面向本地中小配套供应商提供周转贷款；（四）智改数转融资：围绕智能工厂升级的设备投资提供项目融资。公司属上汽国有体系、信用良好，业务风险可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综合评价：延锋（烟台）座椅系统有限公司是延锋体系在福山汽车零部件集群的汽车座椅制造代表企业，具备延锋全球座椅龙头的技术、客户与质量体系优势，经营稳健。</w:t>
      </w:r>
    </w:p>
    <w:p>
      <w:pPr>
        <w:spacing w:lineRule="exact" w:line="600" w:before="0" w:after="0"/>
        <w:ind w:firstLine="420"/>
        <w:jc w:val="both"/>
      </w:pPr>
      <w:r>
        <w:rPr>
          <w:rFonts w:ascii="仿宋_GB2312" w:hAnsi="仿宋_GB2312" w:eastAsia="仿宋_GB2312"/>
          <w:b w:val="0"/>
          <w:color w:val="000000"/>
          <w:sz w:val="32"/>
        </w:rPr>
        <w:t>发展展望：智能座舱与座椅智能化、轻量化趋势明确，公司有望受益；依托延锋前瞻布局，长期成长空间可期。</w:t>
      </w:r>
    </w:p>
    <w:p>
      <w:pPr>
        <w:spacing w:lineRule="exact" w:line="600" w:before="0" w:after="0"/>
        <w:ind w:firstLine="420"/>
        <w:jc w:val="both"/>
      </w:pPr>
      <w:r>
        <w:rPr>
          <w:rFonts w:ascii="仿宋_GB2312" w:hAnsi="仿宋_GB2312" w:eastAsia="仿宋_GB2312"/>
          <w:b w:val="0"/>
          <w:color w:val="000000"/>
          <w:sz w:val="32"/>
        </w:rPr>
        <w:t>挑战与建议：建议（1）在合规前提下提升经营数据透明度；（2）加快智能/轻量化座椅技术落地；（3）山东投资可优先以供应链金融、融资租赁切入，依托延锋与上汽信用开展稳健合作。</w:t>
      </w:r>
    </w:p>
    <w:p>
      <w:pPr>
        <w:spacing w:lineRule="exact" w:line="600" w:before="0" w:after="0"/>
        <w:jc w:val="left"/>
      </w:pPr>
      <w:r>
        <w:rPr>
          <w:rFonts w:ascii="仿宋_GB2312" w:hAnsi="仿宋_GB2312" w:eastAsia="仿宋_GB2312"/>
          <w:b w:val="0"/>
          <w:color w:val="000000"/>
          <w:sz w:val="28"/>
        </w:rPr>
        <w:t>数据来源说明：本报告的工商与股权信息来源于国家企业信用信息公示系统、天眼查、企查查及爱企查公开数据；股权穿透与实际控制人信息来源于天眼查/爱企查（延锋国际汽车技术—华域汽车—上汽集团体系）及公开资料；资质与专利信息来源于企查查、公开新闻报道；财务数据因公司未公示而无法获取，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