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山东烟台经开区（化工新材料）特色产业集群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万华化学集团股份有限公司企业分析报告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万华化学2022—2024年年度报告（上海证券交易所、巨潮网）、公司官网、天眼查企业工商信息、烟台国丰投资控股集团有限公司官网、界面新闻及中国证券报等公开渠道，统计时点截至2024年12月31日。部分前瞻性表述基于公司规划与行业趋势，已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华化学集团股份有限公司（以下简称“万华化学”或“公司”）成立于1998年12月16日，曾用名烟台万华聚氨酯股份有限公司，2001年1月在上海证券交易所挂牌上市，股票代码600309。公司法定代表人为廖增太，注册资本313,047.1626万元人民币，统一社会信用代码91370000163044841F，注册地址为山东省烟台经济技术开发区重庆大街59号，企业登记状态为存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控股股东为烟台国丰投资控股集团有限公司，持股比例21.65%。公司实际控制人为烟台市国资委。烟台国丰投资控股集团有限公司成立于2009年2月，是烟台市首家国有资本投资公司，注册资本110.72亿元，由烟台市人民政府国有资产监督管理委员会持股90.27%、山东省财欣资产运营有限公司持股9.73%；截至2026年3月末，国丰集团总资产约4,796亿元、净资产约1,483亿元，获境内AAA、国际BBB+主体信用评级，直接或间接控股8家上市公司。万华化学与冰轮环境、泰和新材并称为山东省仅有的3家国有整体上市公司，其国有股权全部归属于国丰集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华化学已成为全球化工50强企业、全球MDI（二苯基甲烷二异氰酸酯）产能与市占率第一的龙头企业。公司业务横跨聚氨酯、石化、精细化学品及新材料三大板块，并在全球布局生产基地与研发中心。2022年11月公司设立全资子公司万华化学集团电池科技有限公司（万华电池），作为投资电池产业链的主体；2024年2月万华电池出资2.99亿元收购铜化集团持有的安纳达15.2%股份，成为其第一大股东，切入磷酸铁、正极材料等电池材料领域，电池材料被公司定位为“第二增长曲线”。公司在匈牙利、福建、宁波、四川、广东等地设有重要生产基地，全球化运营架构日趋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1978年成立的烟台合成革厂（国家“六五”重点建设项目），1998年完成股份制改造，2001年上市。2011年收购匈牙利BC公司（现万华化学（匈牙利）），实现MDI技术自主突破与海外布局；此后相继在宁波、珠海、福建、四川等地扩建MDI、TDI及石化装置。2023年起公司进军电池材料业务，通过收购兼并实现电池正极材料全产业链布局。2024年，公司多套装置完成技改扩能，各业务板块主要产品销量及销售收入同比保持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“全球化工新材料领先企业”，主营业务为聚氨酯及助剂、异氰酸酯及衍生产品的开发、生产、销售，并拓展石化系列、精细化学品及新材料系列。拳头产品MDI的市占率稳居全球首位。2024年分产品看：聚氨酯系列收入758.44亿元（占营业收入41.66%），石化系列收入725.18亿元（占39.83%），精细化学品及新材料系列收入282.73亿元（占15.53%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公司实现营业收入1,820.69亿元，其中聚氨酯系列758.44亿元（同比+12.55%）、石化系列725.18亿元（同比+4.60%）、精细化学品及新材料系列282.73亿元（同比+18.61%），三大板块协同发展，精细化学品及新材料增速最快，结构持续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氨酯板块核心产品为MDI、TDI、聚醚多元醇等，广泛应用于家电、汽车、建筑保温、鞋服等领域；石化板块以PO（环氧丙烷）、丙烯酸及酯、MTBE等为基础原料，向下游延伸；精细化学品及新材料涵盖ADI（脂肪族异氰酸酯）、特种胺、TPU、水性树脂、表面材料、营养科技及电池材料等。2024年各板块毛利率分别为聚氨酯26.15%、石化3.52%、精细化学品及新材料12.78%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游客户覆盖家电、汽车、建材、鞋服、电子等众多行业，客户群体分散、集中度低。2024年前五大客户合计销售金额113.11亿元，占总销售额的6.21%，客户依赖风险较低。公司深化全球渠道布局，境内外均衡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2024年前五名供应商合计采购金额208.66亿元，占年度采购总额的14.54%，供应商集中度适中。公司主要采购纯苯、煤炭、LPG/乙烷等大宗化工原料，受国际原油及大宗商品价格波动影响较大。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在烟台、宁波、福建、四川、匈牙利等地拥有规模化生产基地，MDI总产能居全球第一。公司持有危险化学品生产、危险化学品经营等多项安全生产许可，并建立完善的EHS（环境、健康、安全）管理体系。截至2024年末，公司员工总数33,303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公司构建全球化销售网络，在国内主要经济区域及欧洲、美洲、亚太设有销售机构，通过直销与分销结合的方式服务客户，并持续推进数智化渠道建设。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2024年聚氨酯系列销量增长带动收入同比+12.55%；MDI全球市占率稳居首位。公司三年（2022—2024）营业总收入复合增长率约7.75%（化学制品行业可比公司中排名居中）。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（一）近三年主要会计数据（单位：亿元）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2022年：营业收入1,655.65，归母净利润162.34，毛利率16.57%，资产负债率59.50%，经营活动现金流量净额363.37。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2023年：营业收入1,753.61，归母净利润168.16，毛利率16.79%，资产负债率62.67%，经营活动现金流量净额267.97。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2024年：营业收入1,820.69，归母净利润130.33，毛利率16.16%，资产负债率64.72%，经营活动现金流量净额300.53。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2024年末总资产2,933.33亿元，总负债1,898.33亿元，归母净资产946.26亿元；基本每股收益4.15元，加权平均净资产收益率14.29%。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公司营收同比+3.83%，但归母净利润同比下降22.49%（由2023年168.16亿元降至130.33亿元），呈“增收不增利”。原因包括：科研及销售、管理、财务三项费用同比增长，部分投资项目计提资产减值或报废处理；同时受产品价格与原料成本波动影响，整体毛利基本持平（毛利率16.16%，同比下降0.63个百分点）。2024年净利率8.12%，较上年下降2.32个百分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2,933.33亿元，较年初增长15.92%，主要因多套装置扩能及在建工程转固；归母净资产946.26亿元，同比增长6.73%。资产以固定资产、在建工程、存货及货币资金为主，整体资产质量稳健但重资产特征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2024年末资产负债率64.72%，较2023年上升2.05个百分点；流动比率0.56、速动比率0.31，短期偿债指标偏弱，与化工行业重资产、长期资产占比较高有关。公司有息负债规模随扩产上升，需关注利率与再融资环境变化。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活动现金流量净额300.53亿元，同比增长12.15%，盈利现金含量高（净现比约2.3倍），现金流状况优良，可支撑大规模资本开支。投资活动现金流持续净流出（扩产投入），筹资活动现金流随项目融资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与国内化工新材料可比公司相比，万华化学营收规模、MDI市占率、经营现金流均居前列；毛利率受石化板块低毛利拖累处于行业中游，但聚氨酯板块毛利率（26.15%）显著高于行业平均，体现龙头溢价与技术壁垒。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公司为国有控股上市公司，设有股东大会、董事会、监事会及经理层，董事会下设战略、审计、提名、薪酬与考核等专门委员会。控股股东国丰集团依国资监管履行出资人职责，重大事项按上市规则披露。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董事长、法定代表人廖增太长期主持公司经营，核心管理团队具备深厚的化工产业与资本运营经验。公司建立市场化选聘与考核机制，并实施了限制性股票激励计划（国企上市公司）。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公司建立覆盖采购、生产、销售、财务、投资的全流程内控制度，通过ISO质量管理体系及安全生产标准化认证，连续获标准无保留审计意见。作为国有上市公司，落实“三重一大”决策制度及国资监管报告要求。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截至2024年末员工33,303人，同比增加14.63%；人均创收546.7万元、人均创利39.13万元。公司重视研发与人才培养，2024年研发投入约40.8亿元（占营收约2.3%），研发人员规模居行业前列。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技术壁垒：MDI全球产能第一，掌握自主知识产权光气法MDI技术，技术壁垒与规模效应显著，单位成本低于同行；二是产业链一体化：从基础石化原料到下游新材料纵向一体化，抗周期能力较强；三是全球化布局：匈牙利基地及海外渠道分散单一市场波动；四是资金与融资能力：AAA级国资背景、经营现金流充沛、银行授信充裕；五是研发与人才：持续高研发投入构筑新材料产品梯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化工品价格随宏观经济与供需周期波动，2024年已出现“增收不增利”；二是原料价格风险：纯苯、煤炭、油气等大宗原料价格波动直接影响毛利；三是安全环保风险：化工生产属高危行业，环保与安全生产监管趋严；四是债务与扩产风险：资产负债率上升、在建项目资本开支大，若需求不及预期将影响回报；五是海外经营风险：地缘政治、贸易壁垒可能影响海外基地与出口。应对措施：公司通过一体化降本、技改提效、多元化产品、全球化分散风险，并强化EHS与内控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华化学自身融资能力强、渠道多元，直接融资协同空间有限，但可作为山东投资旗下保理、供应链金融、融资租赁业务的“核心企业”切入点：一是以万华为核心企业的上游供应商保理/反向保理，盘活中小供应商应收账款；二是重大装备、环保设施的融资租赁；三是对其新能源电池材料板块初创期配套企业开展供应链金融支持；四是山东投资可依托万华产业链资源，布局化工新材料上下游股权投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万华化学是全球MDI龙头、山东省国有整体上市标杆企业，规模、技术、现金流与国资信用优势突出，但短期面临盈利承压、负债率上升与化工周期下行压力。发展展望：随着精细化学品及新材料、电池材料“第二曲线”放量，以及福建、宁波等基地达产，中长期成长逻辑仍在；据公司规划，电池材料为战略级布局。建议：持续关注盈利修复与负债率变化；对协同业务优先以供应链金融、融资租赁切入，控制信用风险；对股权投资需结合技术成熟度与估值审慎评估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万华化学2022—2024年年度报告（上海证券交易所、巨潮网）、万华化学2024年度财务决算报告、公司官网、天眼查企业工商信息、烟台国丰投资控股集团有限公司官网、界面新闻《从烟台国丰，看一座工业城市的国资突围战》（2026）、中国证券报·中证网2024—2025年相关报道。财务数据以公司年报披露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