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山东烟台经开区（化工新材料）特色产业集群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泰和新材集团股份有限公司企业分析报告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泰和新材2022—2024年年度报告（巨潮资讯网、深交所）、2024年度财务决算报告、公司官网、天眼查企业工商信息、烟台国丰投资控股集团公开信息、中国证券报等公开渠道，统计时点截至2024年12月31日。部分前瞻性内容基于公司规划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和新材集团股份有限公司（以下简称“泰和新材”或“公司”）成立于1993年5月20日，2008年6月在深圳证券交易所挂牌上市，股票代码002254。公司法定代表人为宋西全，注册资本85,705.7183万元人民币，统一社会信用代码91370000165052087E，注册地址为烟台黄渤海新区（烟台经济技术开发区）海滨路240号，企业登记状态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控股股东为烟台国丰投资控股集团有限公司，持股18.57%；其一致行动人烟台裕泰投资股份有限公司（持股13.95%）、烟台国泰诚丰资产管理有限公司（持股3.47%）同受国丰集团控制，国丰集团及其一致行动人合计持股约36.22%。公司实际控制人为烟台市国资委。泰和新材是山东省3家国有整体上市公司之一，国有股权归属国丰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中国首家氨纶、间位芳纶、对位芳纶、芳纶纸生产企业，业务横跨绿色化工、高端纺织、高性能纤维、新能源材料等领域。下设氨纶、芳纶等专业化生产基地，并孵化Ecody®绿色印染、莱特美®发光纤维、纤维锂电池等创新业务。2026年7月因股权激励限售股回购注销，总股本由85,705.7183万股变更为85,152.8183万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烟台氨纶厂，1993年设立，2008年上市。长期专注于氨纶、芳纶等高性能纤维研发生产，先后实现间位芳纶、对位芳纶、芳纶纸国产化突破。2022年实施限制性股票激励计划（获烟台市国资委批复），2024年推进绿色印染与智能纤维产业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高性能纤维与新材料领军企业”，主营氨纶、芳纶等化学纤维的研发、生产与销售。2024年化学纤维产品收入35.37亿元（占98.37%）；按应用分，安防与信息及新能源产业用产品22.14亿元（占61.59%）、先进纺织品13.34亿元（占37.09%）。国内收入28.12亿元（78.21%）、国外7.84亿元（21.79%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2024年营收39.29亿元，化学纤维占绝对主导（98.37%）。2022年芳纶收入21.36亿元（占56.96%）、氨纶16.00亿元（占42.67%）；2024年纤维产量92,733吨（+12.86%）、销量87,044吨（+26.69%），量增价跌特征明显。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氨纶：差别化氨纶纤维，用于纺织弹性面料；芳纶：间位芳纶（防护、过滤）、对位芳纶（安防、光纤增强、复合材料）、芳纶纸（电气绝缘）；创新产品：Ecody®绿色无盐染色、莱特美®发光纤维、纤维锂电池。2024年氨纶因价格持续走低出现较大亏损，芳纶需求在防护装备等领域提升但盈利受价格竞争压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2024年前五大客户合计销售4.63亿元，占11.78%，客户集中度较低。下游涵盖防护装备、汽车、航空、通信光缆、纺织服装等。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2024年前五名供应商合计采购12.52亿元，占27.31%。主要采购PTMEG、MDI、化工辅料等，受上游原料价格影响。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公司拥有氨纶、芳纶多套生产装置及在建设项目，2024年固定资产与在建工程增加推动非流动资产占比升至63%。持有化纤生产相关的安全生产与环保许可。2024年末员工3,281人。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公司以直销为主，国内依托产业集群客户，国外通过代理商与直销拓展防护、光缆市场。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公司是国内芳纶龙头之一，间位芳纶、对位芳纶市占率居前。2024年受氨纶价格下行拖累，营收仅微增0.10%而利润大幅下滑。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2022年：营业收入37.50，归母净利润4.36，毛利率23.14%，资产负债率54.12%，经营活动现金流量净额4.72。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2023年：营业收入39.25，归母净利润3.33，毛利率24.22%，资产负债率40.76%，经营活动现金流量净额3.56。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2024年：营业收入39.29，归母净利润0.88（财务决算数0.90），毛利率15.98%，资产负债率46.99%，经营活动现金流量净额-5.91。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2024年末总资产149.20亿元，总负债70.11亿元，归母净资产70.89亿元；基本每股收益0.10元。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同比+0.10%，归母净利润同比-73.12%（由3.33亿元降至0.90亿元），扣非净利润仅310万元（-98.68%）。主因氨纶价格持续走低致氨纶业务亏损，芳纶盈利受竞争压制；营业成本+10.99%、税金及财务费用上升、资产减值增加共同拖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2024年末总资产149.20亿元，同比+9.54%，非流动资产93.99亿元（+16.98%）因固定资产与在建工程增加；流动资产55.20亿元（-1.16%）。资产结构重资产化。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2024年末资产负债率46.99%，较2023年上升6.23个百分点；流动负债49.76亿元（+30.60%）因流动借款增加，流动比率1.11、速动比率0.82，短期偿债指标尚可但趋弱。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2024年经营活动现金流净额-5.91亿元（2023年为+3.56亿元），同比-265.89%，因税费返还减少、支付税费及保证金增加；投资活动净流出4.86亿元，筹资净流入4.82亿元。整体现金流承压。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在化学纤维行业，公司芳纶技术国内领先，但2024年受氨纶周期下行盈利显著弱于历史中枢；毛利率15.98%低于2022—2023年（23%—24%），反映产品价格压力。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国有控股上市公司，设股东大会、董事会、监事会、经理层，董事会下设各专门委员会。落实国资监管与“三重一大”决策制度。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董事长宋西全，核心团队具高性能纤维产业经验。公司2022年推出限制性股票激励计划（烟台市国资委批复同意），将管理层与股东利益绑定。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公司建立覆盖研发、采购、生产、销售的内控体系，通过相关质量与环境体系认证，审计意见为标准无保留。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2024年末员工3,281人，同比+7.64%；人均创收119.76万元、人均创利2.73万元。公司重视研发，2024年研发费用2.15亿元（占营收约5.5%）。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先发壁垒：国内首家实现氨纶、间位/对位芳纶、芳纶纸产业化的企业，专利与工艺积累深厚；二是产品矩阵：防护、通信、航空等高壁垒应用构筑差异化；三是国资信用：国丰集团控股，融资与资源协同优势；四是创新储备：Ecody绿色印染、纤维锂电池等有望形成新增长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价格风险：氨纶、芳纶价格受供需与竞争影响大，2024年氨纶亏损拖累整体业绩；二是盈利波动风险：净利润波动显著；三是现金流风险：2024年经营现金流为负；四是偿债指标弱化风险：资产负债率上升、流动借款增加；五是技术替代与贸易风险。应对措施：优化产品结构、推进高毛利芳纶与绿色印染、严控资本开支、拓展高附加值应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和新材为国有控股上市新材料企业，可协同方向：一是设备融资租赁，支持氨纶/芳纶产线升级与绿色印染项目建设；二是供应链金融，服务其原料供应商与客户；三是以国丰体系内协同，山东投资可通过保理、小贷满足其产业链中小配套企业资金需求；四是关注纤维锂电池等创新业务的股权或可转债投资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泰和新材是高性能纤维国产化的标杆国企，技术壁垒突出，但2024年受氨纶周期深度下行拖累盈利与现金流，短期经营承压。发展展望：芳纶在防护、通信领域需求稳健，Ecody绿色印染与智能纤维逐步产业化，若氨纶价格触底回升，盈利有望修复（据公司2025年预算营收目标约40亿元）。建议：协同以融资租赁、供应链金融为主；关注其盈利拐点与高毛利产品放量节奏，审慎介入股权投资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泰和新材2022—2024年年度报告（巨潮资讯网、深交所）、2024年度财务决算报告、公司官网、天眼查企业工商信息、中国证券报·中证网及证券日报相关报道、烟台国丰投资控股集团公开信息。财务数据以公司年报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