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山东烟台蓬莱（海上风电装备）特色产业集群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蓬莱大金海洋重工有限公司企业分析报告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大金重工股份有限公司年度报告及巨潮网、中国证券报等公开渠道，统计时点截至2025年度报告披露信息。蓬莱大金海洋重工有限公司为A股上市公司大金重工股份有限公司（证券代码：002487.SZ / 01081.HK）之全资子公司，其单独财务数据未公开披露，第三部分财务分析采用母公司大金重工合并口径数据反映集团整体经营状况，已在文中注明。）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蓬莱大金海洋重工有限公司成立于2009年12月14日，统一社会信用代码为9137068469808038XJ，法定代表人田明军，注册资本为13,000万元人民币（已全额实缴），企业类型为有限责任公司（非自然人投资或控股的法人独资）。公司注册地址位于山东省烟台市蓬莱经济开发区振兴路81号，登记机关为烟台市蓬莱区市场监督管理局，经营状态为存续。公司经营范围包括：一般项目金属结构制造与销售、通用设备制造（不含特种设备制造）、新能源原动设备制造、海洋工程平台装备制造、货物进出口、无船承运业务；许可项目为港口经营。公司英文名称为Penglai Dajin Offshore Heavy Industry Co., Ltd.，网址为http://www.dajinoffshore.cn，参保人数约684人（2025年）。</w:t>
      </w:r>
    </w:p>
    <w:p>
      <w:pPr>
        <w:spacing w:lineRule="exact" w:line="600" w:before="0" w:after="0"/>
        <w:ind w:firstLine="420"/>
        <w:jc w:val="both"/>
      </w:pPr>
      <w:r>
        <w:rPr>
          <w:rFonts w:ascii="仿宋_GB2312" w:hAnsi="仿宋_GB2312" w:eastAsia="仿宋_GB2312"/>
          <w:b w:val="0"/>
          <w:color w:val="000000"/>
          <w:sz w:val="32"/>
        </w:rPr>
        <w:t>股权结构方面，蓬莱大金海洋重工有限公司为上市公司大金重工股份有限公司（以下简称“大金重工”）持股100%的全资子公司，系大金重工在山东蓬莱布局的海上风电基础结构核心制造基地。向上穿透，大金重工为民营控股的A股/H股两地上市公司，其控股股东为北京金胤能源咨询有限公司（持股约38.93%），公司实际控制人、董事长金鑫为最终受益所有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蓬莱大金海洋重工有限公司隶属于大金重工股份有限公司。大金重工总部位于辽宁阜新，是国内领先的风电装备（风电塔筒、海上风电单桩及塔架）制造商，已于深圳证券交易所主板上市（002487.SZ），并于2026年在香港联交所发行H股（01081.HK）。蓬莱基地系大金重工最重要的海上风电装备出口制造基地，依托蓬莱港的港口资源开展单桩、管桩等超大件产品的生产与远洋发运。公司历史上曾对外投资设立大金重工（烟台）海上风电有限公司（持股100%，后注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关键发展节点如下：2009年12月，蓬莱大金海洋重工有限公司注册成立，作为大金重工海上风电业务的重要布局；此后多年，公司持续扩建蓬莱生产基地，形成面向欧洲等海外市场的海上风电单桩生产能力；2020年代以来，随着全球海上风电特别是欧洲海风市场进入高速扩容周期，公司凭借欧洲单桩批量交付能力成为亚太地区唯一可批量向欧洲交付海上风电单桩的制造企业。2025年上半年，以单桩销售额核算，大金重工欧洲市场份额达29.1%，跃居区域行业首位（2024年为18.5%）。</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全球海上风电基础结构核心供应商”，主营业务为海上风电塔筒、单桩（Monopile）、导管架等海上风电基础结构及管桩的研发、制造与出口，同时承接海洋工程装备相关业务。作为蓬莱海上风电装备特色产业集群的龙头企业之一，公司是大金重工海外高毛利订单的主要承载主体，产品以出口欧洲为主。</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从母公司大金重工合并口径看，2025年主营业务收入61.74亿元，其中风电装备产品收入58.66亿元（占比95.01%），新能源发电收入2.51亿元（占比4.07%），其他收入约0.57亿元。按地区划分，出口收入45.97亿元（占比74.46%），国内收入15.77亿元（占比25.54%），海外业务已成为绝对主导。蓬莱基地主要贡献其中的海上风电单桩及基础结构产品。</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公司主要产品包括：海上风电单桩（行业应用最广泛的固定式海上风电基础结构，由大直径钢管制成垂直插入海床）、海上风电塔筒、导管架、管桩等基础结构件，以及海洋工程装备配套结构。其中单桩是公司核心拳头产品，也是其欧洲市场份额快速提升的关键。</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以全球头部风电整机商与海上风电开发运营商为主。受出口模式影响，客户集中度较高：大金重工前五大客户销售额占销售总额比例2023年、2024年、2025年分别为50.71%、54.92%、74.59%，客户集中度呈上升趋势，对单一或少数国际大客户依赖度较高。该结构在带来稳定订单的同时，也带来客户集中度风险。</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生产所需主要原材料为中厚钢板等钢材，采购规模大、价格波动对成本影响显著。公司采用以销定产、按订单锁价与套保相结合的模式管理原材料价格风险。供应商体系相对成熟，但钢材价格上行将挤压毛利率。</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港口经营许可，可利用蓬莱港开展超大件产品的装船与远洋发运，这是其区别于内陆塔筒企业的核心资源禀赋。公司具备年产较大规模海上风电单桩及塔架的制造能力，并通过多个国际客户准入认证。海外项目多采用DAP目的地交付模式，全流程自主负责生产、远洋运输，项目履约周期较长。</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公司销售以直接面向国际风电整机商与开发商的出口订单为主，依托大金重工统一的海外营销与交付体系；国内业务服务于国内海上风电项目。公司不参与零售终端，渠道结构以B2B大客户直销为主。</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弗若斯特沙利文及公司招股书数据，以2025年上半年单桩销售额核算，大金重工欧洲市场份额29.1%、排名区域第一；同期以销售金额计，大金重工在中国风塔供应商中排名第五、市场份额2.4%。全球海上风电新增装机预计由2024年8GW增至2030年36.7GW，年复合增速28.9%，行业需求处于上行通道。</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969"/>
          </w:tcPr>
          <w:p>
            <w:pPr>
              <w:spacing w:lineRule="exact" w:line="600"/>
              <w:jc w:val="center"/>
            </w:pPr>
            <w:r/>
            <w:r>
              <w:rPr>
                <w:rFonts w:ascii="黑体" w:hAnsi="黑体" w:eastAsia="黑体"/>
                <w:b/>
                <w:color w:val="000000"/>
                <w:sz w:val="32"/>
              </w:rPr>
              <w:t>指标（合并口径）</w:t>
            </w:r>
          </w:p>
        </w:tc>
        <w:tc>
          <w:tcPr>
            <w:tcW w:type="dxa" w:w="1701"/>
          </w:tcPr>
          <w:p>
            <w:pPr>
              <w:spacing w:lineRule="exact" w:line="600"/>
              <w:jc w:val="center"/>
            </w:pPr>
            <w:r/>
            <w:r>
              <w:rPr>
                <w:rFonts w:ascii="黑体" w:hAnsi="黑体" w:eastAsia="黑体"/>
                <w:b/>
                <w:color w:val="000000"/>
                <w:sz w:val="32"/>
              </w:rPr>
              <w:t>2023年</w:t>
            </w:r>
          </w:p>
        </w:tc>
        <w:tc>
          <w:tcPr>
            <w:tcW w:type="dxa" w:w="1701"/>
          </w:tcPr>
          <w:p>
            <w:pPr>
              <w:spacing w:lineRule="exact" w:line="600"/>
              <w:jc w:val="center"/>
            </w:pPr>
            <w:r/>
            <w:r>
              <w:rPr>
                <w:rFonts w:ascii="黑体" w:hAnsi="黑体" w:eastAsia="黑体"/>
                <w:b/>
                <w:color w:val="000000"/>
                <w:sz w:val="32"/>
              </w:rPr>
              <w:t>2024年</w:t>
            </w:r>
          </w:p>
        </w:tc>
        <w:tc>
          <w:tcPr>
            <w:tcW w:type="dxa" w:w="1701"/>
          </w:tcPr>
          <w:p>
            <w:pPr>
              <w:spacing w:lineRule="exact" w:line="600"/>
              <w:jc w:val="center"/>
            </w:pPr>
            <w:r/>
            <w:r>
              <w:rPr>
                <w:rFonts w:ascii="黑体" w:hAnsi="黑体" w:eastAsia="黑体"/>
                <w:b/>
                <w:color w:val="000000"/>
                <w:sz w:val="32"/>
              </w:rPr>
              <w:t>2025年</w:t>
            </w:r>
          </w:p>
        </w:tc>
      </w:tr>
      <w:tr>
        <w:tc>
          <w:tcPr>
            <w:tcW w:type="dxa" w:w="3969"/>
          </w:tcPr>
          <w:p>
            <w:pPr>
              <w:spacing w:lineRule="exact" w:line="600"/>
              <w:jc w:val="center"/>
            </w:pPr>
            <w:r/>
            <w:r>
              <w:rPr>
                <w:rFonts w:ascii="仿宋_GB2312" w:hAnsi="仿宋_GB2312" w:eastAsia="仿宋_GB2312"/>
                <w:b w:val="0"/>
                <w:color w:val="000000"/>
                <w:sz w:val="32"/>
              </w:rPr>
              <w:t>营业总收入（亿元）</w:t>
            </w:r>
          </w:p>
        </w:tc>
        <w:tc>
          <w:tcPr>
            <w:tcW w:type="dxa" w:w="1701"/>
          </w:tcPr>
          <w:p>
            <w:pPr>
              <w:spacing w:lineRule="exact" w:line="600"/>
              <w:jc w:val="center"/>
            </w:pPr>
            <w:r/>
            <w:r>
              <w:rPr>
                <w:rFonts w:ascii="仿宋_GB2312" w:hAnsi="仿宋_GB2312" w:eastAsia="仿宋_GB2312"/>
                <w:b w:val="0"/>
                <w:color w:val="000000"/>
                <w:sz w:val="32"/>
              </w:rPr>
              <w:t>43.25</w:t>
            </w:r>
          </w:p>
        </w:tc>
        <w:tc>
          <w:tcPr>
            <w:tcW w:type="dxa" w:w="1701"/>
          </w:tcPr>
          <w:p>
            <w:pPr>
              <w:spacing w:lineRule="exact" w:line="600"/>
              <w:jc w:val="center"/>
            </w:pPr>
            <w:r/>
            <w:r>
              <w:rPr>
                <w:rFonts w:ascii="仿宋_GB2312" w:hAnsi="仿宋_GB2312" w:eastAsia="仿宋_GB2312"/>
                <w:b w:val="0"/>
                <w:color w:val="000000"/>
                <w:sz w:val="32"/>
              </w:rPr>
              <w:t>37.80</w:t>
            </w:r>
          </w:p>
        </w:tc>
        <w:tc>
          <w:tcPr>
            <w:tcW w:type="dxa" w:w="1701"/>
          </w:tcPr>
          <w:p>
            <w:pPr>
              <w:spacing w:lineRule="exact" w:line="600"/>
              <w:jc w:val="center"/>
            </w:pPr>
            <w:r/>
            <w:r>
              <w:rPr>
                <w:rFonts w:ascii="仿宋_GB2312" w:hAnsi="仿宋_GB2312" w:eastAsia="仿宋_GB2312"/>
                <w:b w:val="0"/>
                <w:color w:val="000000"/>
                <w:sz w:val="32"/>
              </w:rPr>
              <w:t>61.74</w:t>
            </w:r>
          </w:p>
        </w:tc>
      </w:tr>
      <w:tr>
        <w:tc>
          <w:tcPr>
            <w:tcW w:type="dxa" w:w="3969"/>
          </w:tcPr>
          <w:p>
            <w:pPr>
              <w:spacing w:lineRule="exact" w:line="600"/>
              <w:jc w:val="center"/>
            </w:pPr>
            <w:r/>
            <w:r>
              <w:rPr>
                <w:rFonts w:ascii="仿宋_GB2312" w:hAnsi="仿宋_GB2312" w:eastAsia="仿宋_GB2312"/>
                <w:b w:val="0"/>
                <w:color w:val="000000"/>
                <w:sz w:val="32"/>
              </w:rPr>
              <w:t>归母净利润（亿元）</w:t>
            </w:r>
          </w:p>
        </w:tc>
        <w:tc>
          <w:tcPr>
            <w:tcW w:type="dxa" w:w="1701"/>
          </w:tcPr>
          <w:p>
            <w:pPr>
              <w:spacing w:lineRule="exact" w:line="600"/>
              <w:jc w:val="center"/>
            </w:pPr>
            <w:r/>
            <w:r>
              <w:rPr>
                <w:rFonts w:ascii="仿宋_GB2312" w:hAnsi="仿宋_GB2312" w:eastAsia="仿宋_GB2312"/>
                <w:b w:val="0"/>
                <w:color w:val="000000"/>
                <w:sz w:val="32"/>
              </w:rPr>
              <w:t>4.25</w:t>
            </w:r>
          </w:p>
        </w:tc>
        <w:tc>
          <w:tcPr>
            <w:tcW w:type="dxa" w:w="1701"/>
          </w:tcPr>
          <w:p>
            <w:pPr>
              <w:spacing w:lineRule="exact" w:line="600"/>
              <w:jc w:val="center"/>
            </w:pPr>
            <w:r/>
            <w:r>
              <w:rPr>
                <w:rFonts w:ascii="仿宋_GB2312" w:hAnsi="仿宋_GB2312" w:eastAsia="仿宋_GB2312"/>
                <w:b w:val="0"/>
                <w:color w:val="000000"/>
                <w:sz w:val="32"/>
              </w:rPr>
              <w:t>4.74</w:t>
            </w:r>
          </w:p>
        </w:tc>
        <w:tc>
          <w:tcPr>
            <w:tcW w:type="dxa" w:w="1701"/>
          </w:tcPr>
          <w:p>
            <w:pPr>
              <w:spacing w:lineRule="exact" w:line="600"/>
              <w:jc w:val="center"/>
            </w:pPr>
            <w:r/>
            <w:r>
              <w:rPr>
                <w:rFonts w:ascii="仿宋_GB2312" w:hAnsi="仿宋_GB2312" w:eastAsia="仿宋_GB2312"/>
                <w:b w:val="0"/>
                <w:color w:val="000000"/>
                <w:sz w:val="32"/>
              </w:rPr>
              <w:t>11.03</w:t>
            </w:r>
          </w:p>
        </w:tc>
      </w:tr>
      <w:tr>
        <w:tc>
          <w:tcPr>
            <w:tcW w:type="dxa" w:w="3969"/>
          </w:tcPr>
          <w:p>
            <w:pPr>
              <w:spacing w:lineRule="exact" w:line="600"/>
              <w:jc w:val="center"/>
            </w:pPr>
            <w:r/>
            <w:r>
              <w:rPr>
                <w:rFonts w:ascii="仿宋_GB2312" w:hAnsi="仿宋_GB2312" w:eastAsia="仿宋_GB2312"/>
                <w:b w:val="0"/>
                <w:color w:val="000000"/>
                <w:sz w:val="32"/>
              </w:rPr>
              <w:t>销售毛利率（%）</w:t>
            </w:r>
          </w:p>
        </w:tc>
        <w:tc>
          <w:tcPr>
            <w:tcW w:type="dxa" w:w="1701"/>
          </w:tcPr>
          <w:p>
            <w:pPr>
              <w:spacing w:lineRule="exact" w:line="600"/>
              <w:jc w:val="center"/>
            </w:pPr>
            <w:r/>
            <w:r>
              <w:rPr>
                <w:rFonts w:ascii="仿宋_GB2312" w:hAnsi="仿宋_GB2312" w:eastAsia="仿宋_GB2312"/>
                <w:b w:val="0"/>
                <w:color w:val="000000"/>
                <w:sz w:val="32"/>
              </w:rPr>
              <w:t>23.44</w:t>
            </w:r>
          </w:p>
        </w:tc>
        <w:tc>
          <w:tcPr>
            <w:tcW w:type="dxa" w:w="1701"/>
          </w:tcPr>
          <w:p>
            <w:pPr>
              <w:spacing w:lineRule="exact" w:line="600"/>
              <w:jc w:val="center"/>
            </w:pPr>
            <w:r/>
            <w:r>
              <w:rPr>
                <w:rFonts w:ascii="仿宋_GB2312" w:hAnsi="仿宋_GB2312" w:eastAsia="仿宋_GB2312"/>
                <w:b w:val="0"/>
                <w:color w:val="000000"/>
                <w:sz w:val="32"/>
              </w:rPr>
              <w:t>29.83</w:t>
            </w:r>
          </w:p>
        </w:tc>
        <w:tc>
          <w:tcPr>
            <w:tcW w:type="dxa" w:w="1701"/>
          </w:tcPr>
          <w:p>
            <w:pPr>
              <w:spacing w:lineRule="exact" w:line="600"/>
              <w:jc w:val="center"/>
            </w:pPr>
            <w:r/>
            <w:r>
              <w:rPr>
                <w:rFonts w:ascii="仿宋_GB2312" w:hAnsi="仿宋_GB2312" w:eastAsia="仿宋_GB2312"/>
                <w:b w:val="0"/>
                <w:color w:val="000000"/>
                <w:sz w:val="32"/>
              </w:rPr>
              <w:t>31.18</w:t>
            </w:r>
          </w:p>
        </w:tc>
      </w:tr>
      <w:tr>
        <w:tc>
          <w:tcPr>
            <w:tcW w:type="dxa" w:w="3969"/>
          </w:tcPr>
          <w:p>
            <w:pPr>
              <w:spacing w:lineRule="exact" w:line="600"/>
              <w:jc w:val="center"/>
            </w:pPr>
            <w:r/>
            <w:r>
              <w:rPr>
                <w:rFonts w:ascii="仿宋_GB2312" w:hAnsi="仿宋_GB2312" w:eastAsia="仿宋_GB2312"/>
                <w:b w:val="0"/>
                <w:color w:val="000000"/>
                <w:sz w:val="32"/>
              </w:rPr>
              <w:t>资产负债率（%）</w:t>
            </w:r>
          </w:p>
        </w:tc>
        <w:tc>
          <w:tcPr>
            <w:tcW w:type="dxa" w:w="1701"/>
          </w:tcPr>
          <w:p>
            <w:pPr>
              <w:spacing w:lineRule="exact" w:line="600"/>
              <w:jc w:val="center"/>
            </w:pPr>
            <w:r/>
            <w:r>
              <w:rPr>
                <w:rFonts w:ascii="仿宋_GB2312" w:hAnsi="仿宋_GB2312" w:eastAsia="仿宋_GB2312"/>
                <w:b w:val="0"/>
                <w:color w:val="000000"/>
                <w:sz w:val="32"/>
              </w:rPr>
              <w:t>32.38</w:t>
            </w:r>
          </w:p>
        </w:tc>
        <w:tc>
          <w:tcPr>
            <w:tcW w:type="dxa" w:w="1701"/>
          </w:tcPr>
          <w:p>
            <w:pPr>
              <w:spacing w:lineRule="exact" w:line="600"/>
              <w:jc w:val="center"/>
            </w:pPr>
            <w:r/>
            <w:r>
              <w:rPr>
                <w:rFonts w:ascii="仿宋_GB2312" w:hAnsi="仿宋_GB2312" w:eastAsia="仿宋_GB2312"/>
                <w:b w:val="0"/>
                <w:color w:val="000000"/>
                <w:sz w:val="32"/>
              </w:rPr>
              <w:t>37.10</w:t>
            </w:r>
          </w:p>
        </w:tc>
        <w:tc>
          <w:tcPr>
            <w:tcW w:type="dxa" w:w="1701"/>
          </w:tcPr>
          <w:p>
            <w:pPr>
              <w:spacing w:lineRule="exact" w:line="600"/>
              <w:jc w:val="center"/>
            </w:pPr>
            <w:r/>
            <w:r>
              <w:rPr>
                <w:rFonts w:ascii="仿宋_GB2312" w:hAnsi="仿宋_GB2312" w:eastAsia="仿宋_GB2312"/>
                <w:b w:val="0"/>
                <w:color w:val="000000"/>
                <w:sz w:val="32"/>
              </w:rPr>
              <w:t>42.86</w:t>
            </w:r>
          </w:p>
        </w:tc>
      </w:tr>
      <w:tr>
        <w:tc>
          <w:tcPr>
            <w:tcW w:type="dxa" w:w="3969"/>
          </w:tcPr>
          <w:p>
            <w:pPr>
              <w:spacing w:lineRule="exact" w:line="600"/>
              <w:jc w:val="center"/>
            </w:pPr>
            <w:r/>
            <w:r>
              <w:rPr>
                <w:rFonts w:ascii="仿宋_GB2312" w:hAnsi="仿宋_GB2312" w:eastAsia="仿宋_GB2312"/>
                <w:b w:val="0"/>
                <w:color w:val="000000"/>
                <w:sz w:val="32"/>
              </w:rPr>
              <w:t>经营活动现金流量净额（亿元）</w:t>
            </w:r>
          </w:p>
        </w:tc>
        <w:tc>
          <w:tcPr>
            <w:tcW w:type="dxa" w:w="1701"/>
          </w:tcPr>
          <w:p>
            <w:pPr>
              <w:spacing w:lineRule="exact" w:line="600"/>
              <w:jc w:val="center"/>
            </w:pPr>
            <w:r/>
            <w:r>
              <w:rPr>
                <w:rFonts w:ascii="仿宋_GB2312" w:hAnsi="仿宋_GB2312" w:eastAsia="仿宋_GB2312"/>
                <w:b w:val="0"/>
                <w:color w:val="000000"/>
                <w:sz w:val="32"/>
              </w:rPr>
              <w:t>8.09</w:t>
            </w:r>
          </w:p>
        </w:tc>
        <w:tc>
          <w:tcPr>
            <w:tcW w:type="dxa" w:w="1701"/>
          </w:tcPr>
          <w:p>
            <w:pPr>
              <w:spacing w:lineRule="exact" w:line="600"/>
              <w:jc w:val="center"/>
            </w:pPr>
            <w:r/>
            <w:r>
              <w:rPr>
                <w:rFonts w:ascii="仿宋_GB2312" w:hAnsi="仿宋_GB2312" w:eastAsia="仿宋_GB2312"/>
                <w:b w:val="0"/>
                <w:color w:val="000000"/>
                <w:sz w:val="32"/>
              </w:rPr>
              <w:t>10.83</w:t>
            </w:r>
          </w:p>
        </w:tc>
        <w:tc>
          <w:tcPr>
            <w:tcW w:type="dxa" w:w="1701"/>
          </w:tcPr>
          <w:p>
            <w:pPr>
              <w:spacing w:lineRule="exact" w:line="600"/>
              <w:jc w:val="center"/>
            </w:pPr>
            <w:r/>
            <w:r>
              <w:rPr>
                <w:rFonts w:ascii="仿宋_GB2312" w:hAnsi="仿宋_GB2312" w:eastAsia="仿宋_GB2312"/>
                <w:b w:val="0"/>
                <w:color w:val="000000"/>
                <w:sz w:val="32"/>
              </w:rPr>
              <w:t>12.27</w:t>
            </w:r>
          </w:p>
        </w:tc>
      </w:tr>
      <w:tr>
        <w:tc>
          <w:tcPr>
            <w:tcW w:type="dxa" w:w="3969"/>
          </w:tcPr>
          <w:p>
            <w:pPr>
              <w:spacing w:lineRule="exact" w:line="600"/>
              <w:jc w:val="center"/>
            </w:pPr>
            <w:r/>
            <w:r>
              <w:rPr>
                <w:rFonts w:ascii="仿宋_GB2312" w:hAnsi="仿宋_GB2312" w:eastAsia="仿宋_GB2312"/>
                <w:b w:val="0"/>
                <w:color w:val="000000"/>
                <w:sz w:val="32"/>
              </w:rPr>
              <w:t>基本每股收益（元）</w:t>
            </w:r>
          </w:p>
        </w:tc>
        <w:tc>
          <w:tcPr>
            <w:tcW w:type="dxa" w:w="1701"/>
          </w:tcPr>
          <w:p>
            <w:pPr>
              <w:spacing w:lineRule="exact" w:line="600"/>
              <w:jc w:val="center"/>
            </w:pPr>
            <w:r/>
            <w:r>
              <w:rPr>
                <w:rFonts w:ascii="仿宋_GB2312" w:hAnsi="仿宋_GB2312" w:eastAsia="仿宋_GB2312"/>
                <w:b w:val="0"/>
                <w:color w:val="000000"/>
                <w:sz w:val="32"/>
              </w:rPr>
              <w:t>0.67</w:t>
            </w:r>
          </w:p>
        </w:tc>
        <w:tc>
          <w:tcPr>
            <w:tcW w:type="dxa" w:w="1701"/>
          </w:tcPr>
          <w:p>
            <w:pPr>
              <w:spacing w:lineRule="exact" w:line="600"/>
              <w:jc w:val="center"/>
            </w:pPr>
            <w:r/>
            <w:r>
              <w:rPr>
                <w:rFonts w:ascii="仿宋_GB2312" w:hAnsi="仿宋_GB2312" w:eastAsia="仿宋_GB2312"/>
                <w:b w:val="0"/>
                <w:color w:val="000000"/>
                <w:sz w:val="32"/>
              </w:rPr>
              <w:t>0.74</w:t>
            </w:r>
          </w:p>
        </w:tc>
        <w:tc>
          <w:tcPr>
            <w:tcW w:type="dxa" w:w="1701"/>
          </w:tcPr>
          <w:p>
            <w:pPr>
              <w:spacing w:lineRule="exact" w:line="600"/>
              <w:jc w:val="center"/>
            </w:pPr>
            <w:r/>
            <w:r>
              <w:rPr>
                <w:rFonts w:ascii="仿宋_GB2312" w:hAnsi="仿宋_GB2312" w:eastAsia="仿宋_GB2312"/>
                <w:b w:val="0"/>
                <w:color w:val="000000"/>
                <w:sz w:val="32"/>
              </w:rPr>
              <w:t>1.73</w:t>
            </w:r>
          </w:p>
        </w:tc>
      </w:tr>
      <w:tr>
        <w:tc>
          <w:tcPr>
            <w:tcW w:type="dxa" w:w="3969"/>
          </w:tcPr>
          <w:p>
            <w:pPr>
              <w:spacing w:lineRule="exact" w:line="600"/>
              <w:jc w:val="center"/>
            </w:pPr>
            <w:r/>
            <w:r>
              <w:rPr>
                <w:rFonts w:ascii="仿宋_GB2312" w:hAnsi="仿宋_GB2312" w:eastAsia="仿宋_GB2312"/>
                <w:b w:val="0"/>
                <w:color w:val="000000"/>
                <w:sz w:val="32"/>
              </w:rPr>
              <w:t>加权平均净资产收益率（%）</w:t>
            </w:r>
          </w:p>
        </w:tc>
        <w:tc>
          <w:tcPr>
            <w:tcW w:type="dxa" w:w="1701"/>
          </w:tcPr>
          <w:p>
            <w:pPr>
              <w:spacing w:lineRule="exact" w:line="600"/>
              <w:jc w:val="center"/>
            </w:pPr>
            <w:r/>
            <w:r>
              <w:rPr>
                <w:rFonts w:ascii="仿宋_GB2312" w:hAnsi="仿宋_GB2312" w:eastAsia="仿宋_GB2312"/>
                <w:b w:val="0"/>
                <w:color w:val="000000"/>
                <w:sz w:val="32"/>
              </w:rPr>
              <w:t>6.32</w:t>
            </w:r>
          </w:p>
        </w:tc>
        <w:tc>
          <w:tcPr>
            <w:tcW w:type="dxa" w:w="1701"/>
          </w:tcPr>
          <w:p>
            <w:pPr>
              <w:spacing w:lineRule="exact" w:line="600"/>
              <w:jc w:val="center"/>
            </w:pPr>
            <w:r/>
            <w:r>
              <w:rPr>
                <w:rFonts w:ascii="仿宋_GB2312" w:hAnsi="仿宋_GB2312" w:eastAsia="仿宋_GB2312"/>
                <w:b w:val="0"/>
                <w:color w:val="000000"/>
                <w:sz w:val="32"/>
              </w:rPr>
              <w:t>6.68</w:t>
            </w:r>
          </w:p>
        </w:tc>
        <w:tc>
          <w:tcPr>
            <w:tcW w:type="dxa" w:w="1701"/>
          </w:tcPr>
          <w:p>
            <w:pPr>
              <w:spacing w:lineRule="exact" w:line="600"/>
              <w:jc w:val="center"/>
            </w:pPr>
            <w:r/>
            <w:r>
              <w:rPr>
                <w:rFonts w:ascii="仿宋_GB2312" w:hAnsi="仿宋_GB2312" w:eastAsia="仿宋_GB2312"/>
                <w:b w:val="0"/>
                <w:color w:val="000000"/>
                <w:sz w:val="32"/>
              </w:rPr>
              <w:t>14.18</w:t>
            </w:r>
          </w:p>
        </w:tc>
      </w:tr>
    </w:tbl>
    <w:p>
      <w:pPr>
        <w:spacing w:lineRule="exact" w:line="600" w:before="0" w:after="0"/>
        <w:jc w:val="left"/>
      </w:pPr>
      <w:r>
        <w:rPr>
          <w:rFonts w:ascii="仿宋_GB2312" w:hAnsi="仿宋_GB2312" w:eastAsia="仿宋_GB2312"/>
          <w:b w:val="0"/>
          <w:color w:val="000000"/>
          <w:sz w:val="28"/>
        </w:rPr>
        <w:t>注：上表为大金重工股份有限公司合并口径数据（来源：2023、2024、2025年年度报告，巨潮网），用于反映集团整体经营状况；蓬莱大金海洋重工有限公司作为全资子公司，其单独财务数据未公开披露。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集团）盈利能力持续向好：营业收入由2023年43.25亿元、2024年37.80亿元回升至2025年61.74亿元，同比增长63.34%；归母净利润由2023年4.25亿元、2024年4.74亿元大幅增至2025年11.03亿元，同比增长132.82%。销售毛利率由2023年23.44%提升至2025年31.18%，主要得益于海外高毛利订单占比提升（2025年海外收入占比74.5%）。净利率由2023年9.83%升至2025年17.87%。</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2025年末集团总资产144.91亿元，较2024年末115.62亿元增长25.33%；归属于上市公司股东净资产82.80亿元。存货周转天数常年维持180天以上，主因海外项目DAP交付模式拉长履约周期。应收账款周转率保持较好水平（2025年5.22次）。整体资产质量稳健，但存货规模随订单增长而上升。</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由2023年32.38%升至2025年42.86%，呈上升态势，主要因在建风电项目及船舶项目资本开支加大、债务规模扩张。2025年流动比率1.94、速动比率1.44，短期偿债能力尚可但较前期（2023年流动比率2.49）有所弱化；有息负债率约34.22%，财务费用存在上行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量净额2023年8.09亿元、2024年10.83亿元、2025年12.27亿元，持续增长且净利润现金含量较高（2025年111.22%），盈利质量较好。但营收、净利润增速显著高于经营现金流增速，存在“增收增利但现金流增幅相对滞后”的特征，需关注回款与存货占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塔筒/管桩同行相比，大金重工凭借欧洲单桩出口占据差异化高地，毛利率（31.18%）显著高于以国内业务为主的同类企业；但其客户集中度（前五大74.59%）高于行业平均，负债率上行速度亦需关注。整体看，公司盈利质量与海外壁垒优于多数国内同行。</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蓬莱大金海洋重工有限公司为有限责任公司，设执行董事/董事及监事，日常经营纳入大金重工集团统一治理框架。母公司大金重工为上市公司，已建立股东大会、董事会、监事会及管理层规范的法人治理结构，并披露2025年年度报告及内部控制审计报告。</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公司法定代表人为田明军（历任法定代表人包括孙晓乐等）。母公司大金重工董事长为金鑫，兼任战略与可持续发展委员会主任委员，为公司实际控制人、最终受益所有人。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作为上市公司全资子公司，公司执行集团统一的财务、采购、销售与内控体系，并通过ISO等质量管理体系认证（具体以集团体系为准）。集团层面已建立较为完善的合规与风险管理机制。</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公司参保人数约684人（2025年），属中型制造企业用工规模，技术工人与焊接、涂装等关键工序人员构成核心人力资产。母公司大金重工通过股权激励、文化建设等方式稳定核心团队。</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认证壁垒：公司掌握海上风电单桩、导管架等大型基础结构制造工艺，通过多家国际头部整机商与开发商的供应商准入认证，认证周期长、转换成本高。二是港口与区位资源：拥有港口经营许可，可自主完成超大件装船与远洋发运，是亚太少数具备欧洲单桩批量交付能力的企业。三是规模化与成本优势：依托大金重工统一采购与规模化制造，在钢材利用、焊接效率上具备优势。四是客户黏性：与国际大客户形成长期稳定合作，欧洲市场份额领先形成品牌效应。</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度风险：前五大客户销售占比升至74.59%，对少数国际客户依赖度高，单一客户订单波动将显著影响业绩。二是海运与地缘风险：海外项目采用DAP交付，海运运价波动、地缘冲突导致的航运成本上涨将侵蚀利润；航运通道安全亦构成不确定因素。三是原材料价格风险：钢材价格上行挤压毛利率，虽通过套保对冲但难以完全消除。四是负债率上行风险：资本开支加大使资产负债率由32.38%升至42.86%，财务费用压力增加。五是交付周期波动风险：海外项目履约周期长，单季度业绩存在波动（2025年四季度营收、净利润环比下滑）。公司已通过客户多元化、套保管理、提升回款效率等方式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管理板块（保理、供应链金融、融资租赁、小额贷款）业务，公司与山东投资的协同切入点包括：（一）供应链金融/保理：公司钢材采购规模大、应付账款周转较快，可开展基于真实贸易背景的钢材采购保理及出口应收账款保理，盘活营运资金；（二）融资租赁：公司持续投入大型专用设备、运输船舶及港口装备，可通过融资租赁优化资本结构、降低一次性资本开支压力；（三）出口订单融资：依托欧洲高信用客户订单，开展订单项下的供应链融资；（四）小额贷款：针对上游中小型配套供应商提供小额周转贷款，稳定供应链生态。上述业务须以真实贸易背景、严格尽调与风控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综合评价：蓬莱大金海洋重工有限公司是大金重工海上风电出口战略的核心载体，依托港口资源、国际认证与欧洲单桩批量交付能力，在行业中占据差异化竞争优势，盈利质量与成长性突出。</w:t>
      </w:r>
    </w:p>
    <w:p>
      <w:pPr>
        <w:spacing w:lineRule="exact" w:line="600" w:before="0" w:after="0"/>
        <w:ind w:firstLine="420"/>
        <w:jc w:val="both"/>
      </w:pPr>
      <w:r>
        <w:rPr>
          <w:rFonts w:ascii="仿宋_GB2312" w:hAnsi="仿宋_GB2312" w:eastAsia="仿宋_GB2312"/>
          <w:b w:val="0"/>
          <w:color w:val="000000"/>
          <w:sz w:val="32"/>
        </w:rPr>
        <w:t>发展展望：全球海上风电处于高速扩容期，欧洲海风装机目标明确，公司海外订单可见度较高；但同时需关注国内塔筒行业竞争加剧、欧洲本土海工扩产带来的长期竞争压力。</w:t>
      </w:r>
    </w:p>
    <w:p>
      <w:pPr>
        <w:spacing w:lineRule="exact" w:line="600" w:before="0" w:after="0"/>
        <w:ind w:firstLine="420"/>
        <w:jc w:val="both"/>
      </w:pPr>
      <w:r>
        <w:rPr>
          <w:rFonts w:ascii="仿宋_GB2312" w:hAnsi="仿宋_GB2312" w:eastAsia="仿宋_GB2312"/>
          <w:b w:val="0"/>
          <w:color w:val="000000"/>
          <w:sz w:val="32"/>
        </w:rPr>
        <w:t>挑战与建议：建议公司（1）在保持海外优势的同时适度拓展国内与新兴市场客户，降低客户集中度；（2）运用保理、融资租赁等工具优化资产负债结构，平滑资本开支对负债率的推升；（3）强化海运与汇率风险管理；（4）持续投入智能化制造以巩固成本与技术壁垒。山东投资可围绕其供应链与出口订单提供定制化金融服务，实现产融协同。</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及天眼查、企查查公开数据；股权与实控人信息来源于天眼查股权穿透及大金重工年度报告；财务数据来源于大金重工股份有限公司2023、2024、2025年年度报告（巨潮资讯网）及中国证券报、证券时报公开报道；市场与行业数据来源于弗若斯特沙利文、全球风能理事会（GWEC）、WindEurope公开资料及公司招股说明书。蓬莱大金海洋重工有限公司单独财务数据未公开披露，已如实标注并采用母公司合并口径说明。</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