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山东烟台龙口市(高端交通铝材)特色产业集群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山东南山铝业股份有限公司企业分析报告</w:t>
      </w:r>
    </w:p>
    <w:p>
      <w:pPr>
        <w:spacing w:lineRule="exact" w:line="600" w:before="0" w:after="0"/>
        <w:jc w:val="left"/>
      </w:pPr>
      <w:r>
        <w:rPr>
          <w:rFonts w:ascii="仿宋_GB2312" w:hAnsi="仿宋_GB2312" w:eastAsia="仿宋_GB2312"/>
          <w:b w:val="0"/>
          <w:color w:val="000000"/>
          <w:sz w:val="28"/>
        </w:rPr>
        <w:t>（本报告数据来源于山东南山铝业股份有限公司（600219.SH）2021—2023年年度报告、上交所/巨潮公告、公司官网及权威媒体报道等公开渠道，统计时点截至2023年年报披露信息；2024年业绩预告数据亦有引用。）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南山铝业股份有限公司（证券简称：南山铝业，代码：600219.SH）成立于1993年3月，于1999年12月在上海证券交易所上市，注册地址位于山东省烟台市龙口市东江镇前宋村。公司是国内唯一的、拥有从热电—氧化铝—电解铝—熔铸—铝型材/铝板带箔完整产业链的铝深加工企业，形成“上游电力、氧化铝、铝合金锭—下游铝板带（汽车板、航空板、罐料）、铝型材、铝箔”的完整产品体系。</w:t>
      </w:r>
    </w:p>
    <w:p>
      <w:pPr>
        <w:spacing w:lineRule="exact" w:line="600" w:before="0" w:after="0"/>
        <w:ind w:firstLine="420"/>
        <w:jc w:val="both"/>
      </w:pPr>
      <w:r>
        <w:rPr>
          <w:rFonts w:ascii="仿宋_GB2312" w:hAnsi="仿宋_GB2312" w:eastAsia="仿宋_GB2312"/>
          <w:b w:val="0"/>
          <w:color w:val="000000"/>
          <w:sz w:val="32"/>
        </w:rPr>
        <w:t>股权结构方面，公司控股股东为南山集团有限公司（龙口市大型民营股份制企业集团，实际控制人为南山村集体经济/宋作文家族背景的民营控股）。公司无实际控制人变更，属民营控股的上市公众公司。截至2023年末，公司总股本约117.09亿股。</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大型铝加工集团，下设氧化铝、电解铝、熔铸、热轧、冷轧、铝型材、铝箔、锻造等多个生产板块与子公司，并在印尼建设铝产业海外基地（200万吨氧化铝项目、电解铝项目）。公司构建了从能源到终端铝制品的全产业链组织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1999年上市，历经二十余年发展，由单一铝型材加工拓展为全产业链铝深加工龙头。2022年10月印尼200万吨氧化铝项目全面投产；2023年向贵州企业转让33.6万吨电解铝产能指标，保留48万吨电解铝产能；同时推进汽车板、航空板、动力电池箔等高端产品产能释放，并启动连续三年股份回购注销与高分红。</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高端铝深加工制造商，重点发展以汽车板、航空板、动力电池箔为代表的高附加值产品，同时稳固罐料、包装箔、工业与建筑型材等传统优势。终端应用于航空、轨道交通、汽车、包装、电池、建筑等领域。2023年高端产品销量约占铝产品总销量14%，但贡献约30%的毛利润。</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2023年公司营业收入288.44亿元，产品结构：冷轧卷/板149.64亿元（占51.88%）、氧化铝粉57.32亿元（占19.87%）、铝型材42.20亿元（占14.63%）、铝箔14.10亿元（占4.89%）、合金锭13.19亿元（占4.57%）、热轧卷/板6.62亿元（占2.29%）。氧化铝粉销量受印尼项目达产同比增加近60万吨至352.86万吨。</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包括：汽车板（覆盖各合资、外资、自主及造车新势力品牌）、航空板（国内唯一通过空客、波音、庞巴迪、中商飞认证的民用飞机铝合金供应商）、动力电池箔（进入宁德时代、中创新航、国轩高科供应链）、罐料与包装箔（市场领先地位）、工业与建筑铝型材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群体稳固：汽车板覆盖合资/外资/自主/新势力整车企业；铝箔进入宁德时代、中创新航、国轩高科等头部电池企业；航空板供应空客、波音、庞巴迪、中国商飞；罐料长期服务国内外包装巨头。因客户分散，前五大客户具体占比未强制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主要原料为铝土矿、氧化铝（部分自供）、电力及合金元素。印尼200万吨氧化铝项目保障上游原料；电力以自用热电为主。供应商包括国内外矿商与贸易商。</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48万吨电解铝产能、印尼200万吨氧化铝产能，以及铝板带箔、型材、锻件等完整深加工产能；具备航空航天、汽车、电池等多领域产品认证与质量体系（AS9100、IATF16949、ISO等）。航空板、汽车板认证构成高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公司采用直销为主、兼顾分销的模式，国内深耕、海外拓展（印尼基地+国际航空/汽车客户）。高端产品以认证准入和长协绑定大客户。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公司是国内铝加工全产业链龙头，航空板为国内唯一获主流民机认证的供应商，汽车板、动力电池箔居国内第一梯队。2023年高端产品毛利贡献约30%，产品竞争力强。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685"/>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2021年</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r>
      <w:tr>
        <w:tc>
          <w:tcPr>
            <w:tcW w:type="dxa" w:w="3685"/>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287.25</w:t>
            </w:r>
          </w:p>
        </w:tc>
        <w:tc>
          <w:tcPr>
            <w:tcW w:type="dxa" w:w="1984"/>
          </w:tcPr>
          <w:p>
            <w:pPr>
              <w:spacing w:lineRule="exact" w:line="600"/>
              <w:jc w:val="center"/>
            </w:pPr>
            <w:r/>
            <w:r>
              <w:rPr>
                <w:rFonts w:ascii="仿宋_GB2312" w:hAnsi="仿宋_GB2312" w:eastAsia="仿宋_GB2312"/>
                <w:b w:val="0"/>
                <w:color w:val="000000"/>
                <w:sz w:val="32"/>
              </w:rPr>
              <w:t>349.51</w:t>
            </w:r>
          </w:p>
        </w:tc>
        <w:tc>
          <w:tcPr>
            <w:tcW w:type="dxa" w:w="1984"/>
          </w:tcPr>
          <w:p>
            <w:pPr>
              <w:spacing w:lineRule="exact" w:line="600"/>
              <w:jc w:val="center"/>
            </w:pPr>
            <w:r/>
            <w:r>
              <w:rPr>
                <w:rFonts w:ascii="仿宋_GB2312" w:hAnsi="仿宋_GB2312" w:eastAsia="仿宋_GB2312"/>
                <w:b w:val="0"/>
                <w:color w:val="000000"/>
                <w:sz w:val="32"/>
              </w:rPr>
              <w:t>288.44</w:t>
            </w:r>
          </w:p>
        </w:tc>
      </w:tr>
      <w:tr>
        <w:tc>
          <w:tcPr>
            <w:tcW w:type="dxa" w:w="3685"/>
          </w:tcPr>
          <w:p>
            <w:pPr>
              <w:spacing w:lineRule="exact" w:line="600"/>
              <w:jc w:val="center"/>
            </w:pPr>
            <w:r/>
            <w:r>
              <w:rPr>
                <w:rFonts w:ascii="仿宋_GB2312" w:hAnsi="仿宋_GB2312" w:eastAsia="仿宋_GB2312"/>
                <w:b w:val="0"/>
                <w:color w:val="000000"/>
                <w:sz w:val="32"/>
              </w:rPr>
              <w:t>归母净利润（亿元）</w:t>
            </w:r>
          </w:p>
        </w:tc>
        <w:tc>
          <w:tcPr>
            <w:tcW w:type="dxa" w:w="1984"/>
          </w:tcPr>
          <w:p>
            <w:pPr>
              <w:spacing w:lineRule="exact" w:line="600"/>
              <w:jc w:val="center"/>
            </w:pPr>
            <w:r/>
            <w:r>
              <w:rPr>
                <w:rFonts w:ascii="仿宋_GB2312" w:hAnsi="仿宋_GB2312" w:eastAsia="仿宋_GB2312"/>
                <w:b w:val="0"/>
                <w:color w:val="000000"/>
                <w:sz w:val="32"/>
              </w:rPr>
              <w:t>34.11</w:t>
            </w:r>
          </w:p>
        </w:tc>
        <w:tc>
          <w:tcPr>
            <w:tcW w:type="dxa" w:w="1984"/>
          </w:tcPr>
          <w:p>
            <w:pPr>
              <w:spacing w:lineRule="exact" w:line="600"/>
              <w:jc w:val="center"/>
            </w:pPr>
            <w:r/>
            <w:r>
              <w:rPr>
                <w:rFonts w:ascii="仿宋_GB2312" w:hAnsi="仿宋_GB2312" w:eastAsia="仿宋_GB2312"/>
                <w:b w:val="0"/>
                <w:color w:val="000000"/>
                <w:sz w:val="32"/>
              </w:rPr>
              <w:t>35.16</w:t>
            </w:r>
          </w:p>
        </w:tc>
        <w:tc>
          <w:tcPr>
            <w:tcW w:type="dxa" w:w="1984"/>
          </w:tcPr>
          <w:p>
            <w:pPr>
              <w:spacing w:lineRule="exact" w:line="600"/>
              <w:jc w:val="center"/>
            </w:pPr>
            <w:r/>
            <w:r>
              <w:rPr>
                <w:rFonts w:ascii="仿宋_GB2312" w:hAnsi="仿宋_GB2312" w:eastAsia="仿宋_GB2312"/>
                <w:b w:val="0"/>
                <w:color w:val="000000"/>
                <w:sz w:val="32"/>
              </w:rPr>
              <w:t>34.74</w:t>
            </w:r>
          </w:p>
        </w:tc>
      </w:tr>
      <w:tr>
        <w:tc>
          <w:tcPr>
            <w:tcW w:type="dxa" w:w="3685"/>
          </w:tcPr>
          <w:p>
            <w:pPr>
              <w:spacing w:lineRule="exact" w:line="600"/>
              <w:jc w:val="center"/>
            </w:pPr>
            <w:r/>
            <w:r>
              <w:rPr>
                <w:rFonts w:ascii="仿宋_GB2312" w:hAnsi="仿宋_GB2312" w:eastAsia="仿宋_GB2312"/>
                <w:b w:val="0"/>
                <w:color w:val="000000"/>
                <w:sz w:val="32"/>
              </w:rPr>
              <w:t>销售毛利率（%）</w:t>
            </w:r>
          </w:p>
        </w:tc>
        <w:tc>
          <w:tcPr>
            <w:tcW w:type="dxa" w:w="1984"/>
          </w:tcPr>
          <w:p>
            <w:pPr>
              <w:spacing w:lineRule="exact" w:line="600"/>
              <w:jc w:val="center"/>
            </w:pPr>
            <w:r/>
            <w:r>
              <w:rPr>
                <w:rFonts w:ascii="仿宋_GB2312" w:hAnsi="仿宋_GB2312" w:eastAsia="仿宋_GB2312"/>
                <w:b w:val="0"/>
                <w:color w:val="000000"/>
                <w:sz w:val="32"/>
              </w:rPr>
              <w:t>约24.6*</w:t>
            </w:r>
          </w:p>
        </w:tc>
        <w:tc>
          <w:tcPr>
            <w:tcW w:type="dxa" w:w="1984"/>
          </w:tcPr>
          <w:p>
            <w:pPr>
              <w:spacing w:lineRule="exact" w:line="600"/>
              <w:jc w:val="center"/>
            </w:pPr>
            <w:r/>
            <w:r>
              <w:rPr>
                <w:rFonts w:ascii="仿宋_GB2312" w:hAnsi="仿宋_GB2312" w:eastAsia="仿宋_GB2312"/>
                <w:b w:val="0"/>
                <w:color w:val="000000"/>
                <w:sz w:val="32"/>
              </w:rPr>
              <w:t>约20.9*</w:t>
            </w:r>
          </w:p>
        </w:tc>
        <w:tc>
          <w:tcPr>
            <w:tcW w:type="dxa" w:w="1984"/>
          </w:tcPr>
          <w:p>
            <w:pPr>
              <w:spacing w:lineRule="exact" w:line="600"/>
              <w:jc w:val="center"/>
            </w:pPr>
            <w:r/>
            <w:r>
              <w:rPr>
                <w:rFonts w:ascii="仿宋_GB2312" w:hAnsi="仿宋_GB2312" w:eastAsia="仿宋_GB2312"/>
                <w:b w:val="0"/>
                <w:color w:val="000000"/>
                <w:sz w:val="32"/>
              </w:rPr>
              <w:t>20.34</w:t>
            </w:r>
          </w:p>
        </w:tc>
      </w:tr>
      <w:tr>
        <w:tc>
          <w:tcPr>
            <w:tcW w:type="dxa" w:w="3685"/>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22.72</w:t>
            </w:r>
          </w:p>
        </w:tc>
        <w:tc>
          <w:tcPr>
            <w:tcW w:type="dxa" w:w="1984"/>
          </w:tcPr>
          <w:p>
            <w:pPr>
              <w:spacing w:lineRule="exact" w:line="600"/>
              <w:jc w:val="center"/>
            </w:pPr>
            <w:r/>
            <w:r>
              <w:rPr>
                <w:rFonts w:ascii="仿宋_GB2312" w:hAnsi="仿宋_GB2312" w:eastAsia="仿宋_GB2312"/>
                <w:b w:val="0"/>
                <w:color w:val="000000"/>
                <w:sz w:val="32"/>
              </w:rPr>
              <w:t>21.49</w:t>
            </w:r>
          </w:p>
        </w:tc>
      </w:tr>
      <w:tr>
        <w:tc>
          <w:tcPr>
            <w:tcW w:type="dxa" w:w="3685"/>
          </w:tcPr>
          <w:p>
            <w:pPr>
              <w:spacing w:lineRule="exact" w:line="600"/>
              <w:jc w:val="center"/>
            </w:pPr>
            <w:r/>
            <w:r>
              <w:rPr>
                <w:rFonts w:ascii="仿宋_GB2312" w:hAnsi="仿宋_GB2312" w:eastAsia="仿宋_GB2312"/>
                <w:b w:val="0"/>
                <w:color w:val="000000"/>
                <w:sz w:val="32"/>
              </w:rPr>
              <w:t>经营活动现金流净额（亿元）</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42.30</w:t>
            </w:r>
          </w:p>
        </w:tc>
      </w:tr>
      <w:tr>
        <w:tc>
          <w:tcPr>
            <w:tcW w:type="dxa" w:w="3685"/>
          </w:tcPr>
          <w:p>
            <w:pPr>
              <w:spacing w:lineRule="exact" w:line="600"/>
              <w:jc w:val="center"/>
            </w:pPr>
            <w:r/>
            <w:r>
              <w:rPr>
                <w:rFonts w:ascii="仿宋_GB2312" w:hAnsi="仿宋_GB2312" w:eastAsia="仿宋_GB2312"/>
                <w:b w:val="0"/>
                <w:color w:val="000000"/>
                <w:sz w:val="32"/>
              </w:rPr>
              <w:t>基本每股收益（元）</w:t>
            </w:r>
          </w:p>
        </w:tc>
        <w:tc>
          <w:tcPr>
            <w:tcW w:type="dxa" w:w="1984"/>
          </w:tcPr>
          <w:p>
            <w:pPr>
              <w:spacing w:lineRule="exact" w:line="600"/>
              <w:jc w:val="center"/>
            </w:pPr>
            <w:r/>
            <w:r>
              <w:rPr>
                <w:rFonts w:ascii="仿宋_GB2312" w:hAnsi="仿宋_GB2312" w:eastAsia="仿宋_GB2312"/>
                <w:b w:val="0"/>
                <w:color w:val="000000"/>
                <w:sz w:val="32"/>
              </w:rPr>
              <w:t>0.29</w:t>
            </w:r>
          </w:p>
        </w:tc>
        <w:tc>
          <w:tcPr>
            <w:tcW w:type="dxa" w:w="1984"/>
          </w:tcPr>
          <w:p>
            <w:pPr>
              <w:spacing w:lineRule="exact" w:line="600"/>
              <w:jc w:val="center"/>
            </w:pPr>
            <w:r/>
            <w:r>
              <w:rPr>
                <w:rFonts w:ascii="仿宋_GB2312" w:hAnsi="仿宋_GB2312" w:eastAsia="仿宋_GB2312"/>
                <w:b w:val="0"/>
                <w:color w:val="000000"/>
                <w:sz w:val="32"/>
              </w:rPr>
              <w:t>0.29</w:t>
            </w:r>
          </w:p>
        </w:tc>
        <w:tc>
          <w:tcPr>
            <w:tcW w:type="dxa" w:w="1984"/>
          </w:tcPr>
          <w:p>
            <w:pPr>
              <w:spacing w:lineRule="exact" w:line="600"/>
              <w:jc w:val="center"/>
            </w:pPr>
            <w:r/>
            <w:r>
              <w:rPr>
                <w:rFonts w:ascii="仿宋_GB2312" w:hAnsi="仿宋_GB2312" w:eastAsia="仿宋_GB2312"/>
                <w:b w:val="0"/>
                <w:color w:val="000000"/>
                <w:sz w:val="32"/>
              </w:rPr>
              <w:t>0.30</w:t>
            </w:r>
          </w:p>
        </w:tc>
      </w:tr>
    </w:tbl>
    <w:p>
      <w:pPr>
        <w:spacing w:lineRule="exact" w:line="600" w:before="0" w:after="0"/>
        <w:ind w:firstLine="420"/>
        <w:jc w:val="both"/>
      </w:pPr>
      <w:r>
        <w:rPr>
          <w:rFonts w:ascii="仿宋_GB2312" w:hAnsi="仿宋_GB2312" w:eastAsia="仿宋_GB2312"/>
          <w:b w:val="0"/>
          <w:color w:val="000000"/>
          <w:sz w:val="32"/>
        </w:rPr>
        <w:t>注：2021、2022年毛利率为根据营收与营业成本测算的近似值（标注*），2021、2022年部分明细指标年报未直接单列；2024年公司业绩预告归母净利润45.16—48.64亿元（同比+30%至+40%）。</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2023年归母净利润34.74亿元（同比-1.18%），扣非净利润受主业回落影响下降约29%；毛利率20.34%。高端产品（汽车板、航空板、电池箔）毛利贡献约30%，有效对冲传统产品波动。2024年预告盈利显著回升（高端产能释放+印尼氧化铝达产+铝价上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2023年末总资产688.15亿元，其中固定资产244.33亿元、流动资产399.26亿元；归母净资产483.44亿元，资产结构稳健，重资产但质量优良。</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2023年末资产负债率21.49%，负债水平低，偿债能力很强；流动比率良好（流动负债141.12亿元、非流动负债仅6.75亿元）。</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2023年经营活动现金流净额42.30亿元，盈利现金含量高；投资活动净流入13.13亿元（含资产处置），筹资活动净流出25.95亿元（回购与分红）。现金流整体健康。</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与云铝股份、神火股份、中国铝业等相比，南山铝业毛利率（20%左右）与资产负债率（约21%）均优于行业平均，全产业链与高端产品带来溢价与抗风险能力。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公司为上交所上市公众公司，设董事会、监事会、经理层及审计、薪酬等专门委员会，治理规范，定期披露并受持续督导。</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公司核心管理层具有铝加工产业长期经验，推行职业经理人制度，重视研发与国际化运营。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公司建立质量、环境、安全、能源等管理体系，通过航空、汽车、电池等领域体系认证，落实上市公司内控与信息披露规范。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公司员工规模庞大（万余人），研发人员占比高，2023年研发费用12.73亿元。建有国家级企业技术中心与多领域研发平台。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产业链一体化：电力—氧化铝—电解铝—深加工完整链条，成本与抗周期优势突出；二是高端认证壁垒：航空板国内唯一获空客/波音/庞巴迪/商飞认证，汽车板、电池箔准入门槛高；三是客户壁垒：绑定国内外航空、汽车、电池头部客户；四是海外布局：印尼200万吨氧化铝+电解铝打造“第二成长曲线”；五是财务稳健：低负债、高分红、持续回购。</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铝价与需求周期风险：铝加工品价格随原铝及下游需求波动；二是高端产能释放与达产风险：汽车板、航空板认证与爬坡周期长；三是海外运营风险：印尼项目面临汇率、政策、地缘风险；四是贸易摩擦风险：航空、汽车出口受国际关系影响；五是安全环保风险：电解铝、氧化铝生产能耗与排放监管。应对措施：强化高端产品占比、海外有序扩张、降本增效、严控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南山铝业作为大型上市公司融资通畅，山东投资可协同方向：一是供应链金融，围绕氧化铝、电解铝、设备采购，为上游矿商及下游经销商提供保理、票据服务；二是为龙口铝加工配套中小供应商提供反向保理、融资租赁；三是针对高端产线设备更新开展融资租赁；四是依托山东投资产业资源在汽车板、航空板下游应用端探讨产融合作。</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综合评价：南山铝业是龙口高端交通铝材集群的龙头与全国铝加工全产业链标杆，航空板、汽车板、电池箔高端壁垒突出、财务极度稳健，是集群链主型企业。</w:t>
      </w:r>
    </w:p>
    <w:p>
      <w:pPr>
        <w:spacing w:lineRule="exact" w:line="600" w:before="0" w:after="0"/>
        <w:ind w:firstLine="420"/>
        <w:jc w:val="both"/>
      </w:pPr>
      <w:r>
        <w:rPr>
          <w:rFonts w:ascii="仿宋_GB2312" w:hAnsi="仿宋_GB2312" w:eastAsia="仿宋_GB2312"/>
          <w:b w:val="0"/>
          <w:color w:val="000000"/>
          <w:sz w:val="32"/>
        </w:rPr>
        <w:t>发展展望：随着新能源汽车、动力电池、大飞机国产化加速，公司高端产品需求广阔；印尼基地有望成为新增长极。据公司规划与行业趋势，高端化、国际化是方向。</w:t>
      </w:r>
    </w:p>
    <w:p>
      <w:pPr>
        <w:spacing w:lineRule="exact" w:line="600" w:before="0" w:after="0"/>
        <w:ind w:firstLine="420"/>
        <w:jc w:val="both"/>
      </w:pPr>
      <w:r>
        <w:rPr>
          <w:rFonts w:ascii="仿宋_GB2312" w:hAnsi="仿宋_GB2312" w:eastAsia="仿宋_GB2312"/>
          <w:b w:val="0"/>
          <w:color w:val="000000"/>
          <w:sz w:val="32"/>
        </w:rPr>
        <w:t>建议：一是加快航空板/汽车板/电池箔认证客户拓展与产能释放；二是稳步推进印尼基地；三是利用低负债优势优化资本结构；四是借助山东投资供应链金融工具服务龙口铝产业链生态。</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山东南山铝业股份有限公司（600219.SH）2021、2022、2023年年度报告及上交所/巨潮公告；2）2023年度财务决算报告、业绩预告（2024）；3）公司官网（600219.com.cn）及关于高端产品、印尼项目的公开报道；4）东方财富、同花顺、新浪财经等公开财务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