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山东省东营市河口区烯烃材料产业集群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富海集团新能源控股有限公司企业分析报告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（大众日报、经济导报、同花顺、雪球、中国化工报等）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海集团新能源控股有限公司（简称“富海控股”）成立于2019年11月27日，法定代表人为廖广明（总裁），统一社会信用代码91370503MA3R34L169，企业类型为其他有限责任公司，注册资本140,000万元（实缴约132,304.81万元），注册地址位于山东省东营市河口区海盛路与河雁路交叉路口向北500米路西，登记机关为东营市河口区市场监督管理局，经营状态为存续。人员规模100—499人（为集团控股平台口径，集团整体员工5,000余人），2025年年报参保人数244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由自然人控股。罗英男持股约90.52%，王玉梅约4.16%，王义民约4.12%，王振华约1.20%；穿透后罗冰为集团董事长、核心实际控制人。公司由富海集团有限公司（1998年成立的老集团主体）牵头出资设立，现富海集团已退出股东名单，二者为关联企业关系。公司无国有控股股东，属大型民营能源化工控股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集团主要经营与控股平台，对外投资22家企业、控股约35家，间接持股97家。核心资产包括东营华联石油化工厂有限公司（持股99.66%）、联合石化等两大炼化基地，并形成芳烃、烯烃、煤化工、新材料、物流配送、终端零售（油气站超800座）、房地产等业务板块；在河北曹妃甸、菏泽等地布局重大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海集团始于1998年（富海集团有限公司），历经“三个十年”阶梯式成长：积累期入局石化、发展期聚焦主业并开拓煤化工与油气站、转型期打通芳烃全产业链并延伸新材料。富海控股2019年成立后成为集团主要经营实体，连续多年入选中国企业500强；2024年营收约905亿元，位列中国企业500强第282位、中国民营企业500强第113位、中国制造业民营企业500强第80位。当前全力推进总投资约757亿元的芳烃原料低碳重构与综合利用示范项目，并布局曹妃甸345.6亿元甲醇石脑油耦合制烯烃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石油化工、煤化工、新材料、现代物流、油气站连锁运营于一体的大型民营能源化工企业，是河口区烯烃材料产业集群的链主企业。主营业务围绕“炼油—芳烃—聚酯”与“炼油—烯烃—新材料”两条产业链展开：拥有东营华联石化、联合石化两大生产基地，原油年一次加工能力千万吨；建成200万吨/年PX、250万吨/年PTA及PET装置，率先打通“炼油—芳烃—聚酯”全产业链（PX为山东省唯一列入国家石化产业规划布局方案的芳烃项目）；规划曹妃甸100万吨/年甲醇石脑油耦合制烯烃项目，向下游EVA、高端聚烯烃、合成橡胶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炼化一体化为基，形成“炼油—芳烃—聚酯”与“炼油—烯烃—新材料”双主线。收入结构以成品油、芳烃（PX、PTA、PET）、烯烃及新材料为主；集团2024年营收约905亿元，炼化与芳烃聚酯为收入主体，新材料（EVA、高端聚烯烃等）为增量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汽油、柴油等成品油；对二甲苯（PX，200万吨/年）、精对苯二甲酸（PTA，250万吨/年）、聚酯（PET）包装材料；烯烃及下游EVA、高端聚烯烃、合成橡胶等新材料；并运营油气站零售与危化品物流。规划新增300万吨PX、200万吨乙烯（东营项目）及100万吨/年乙烯裂解（曹妃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下游覆盖成品油终端（800余座油气站）、聚酯与包装企业、化工新材料客户；并与巴斯夫、沙特阿美等国际企业合作，市场网络覆盖多国及地区；参与赤道几内亚油气项目，国际化布局推进。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生产所需主要原料为原油（进口与国产）、石脑油、甲醇及煤炭等，价格随国际油价与大宗商品行情波动；依托千万吨级炼化能力与港口/管网物流保障原料采购与运输。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原油年一次加工能力千万吨；PX 200万吨/年、PTA 250万吨/年；东营757亿元项目规划形成1,500万吨炼油、300万吨PX、200万吨乙烯产业规模（年销售收入766亿元、利税191亿元）；曹妃甸345.6亿元项目规划100万吨/年乙烯裂解。资质与荣誉：国家级绿色工厂、第十九届全国质量奖组织奖、省级智能工厂；2026年获“东营市纳税突出贡献企业”等称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以炼化产品直销、聚酯包装客户配套及800余座“富海能源”油气站终端零售为主；建东营河口、菏泽郓城两大物流园区，运营危化品运输车辆1,600余台，形成高效运输网络；开展进出口贸易。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中国企业500强榜单，公司2024年营业收入约905.37亿元，位列中国企业500强第282位、中国民营企业500强第113位、中国制造业民营企业500强第80位；PX产能居山东省前列（省内唯一列入国家布局），在山东石化行业稳居第一梯队。非上市属性下，集团合并口径近三年完整财务报表未公开披露，2024年营收为权威榜单披露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富海集团新能源控股为非上市民营控股平台，近三年完整合并财务报表未公开披露；下表列示公开可获取的集团代表性数据（来源：中国企业500强榜单、企业官网），单位：万元，不作编造。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140,000（实缴约132,305）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2019-11-27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2024年营业收入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约9,053,748（905亿元）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中国企业500强排名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第282位（2025）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民企500强排名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第113位（2025）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原油一次加工能力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千万吨级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PX/PTA产能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200万吨/年、250万吨/年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公司为非上市企业，盈利数据未公开披露。作为千万吨级炼化一体化企业，盈利随原油与化工品价差周期波动；2024年营收约905亿元体现规模体量，但炼化行业周期性较强，需关注价差与开工率对利润的影响。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无公开资产数据。重资产属性突出，固定资产（炼化装置、PX/PTA/PET）与土地占比高；千万吨级产能与两大基地构成核心资产壁垒。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无公开负债数据。757亿元东营项目与345.6亿元曹妃甸项目资本开支巨大，预计依赖银行借款与股权融资，需关注杠杆与偿债能力；建议授信前核查有息负债与项目资本金安排。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无公开现金流数据。大规模资本开支期自由现金流承压，依赖经营性现金流与融资支持；千万吨级炼化的稳定经营现金流是偿债基础。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山东地炼及石化企业相比，富海以“炼油—芳烃—聚酯”全产业链、PX省内唯一国家布局、905亿元营收稳居第一梯队；与东明石化等千万吨级一体化项目相比，富海芳烃聚酯链条更完整，正补齐烯烃深加工短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自然人控股（罗英男90.52%等），设总裁（廖广明）、董事长（罗冰）及职能管理部门；作为大型民企，治理兼顾家族控制与职业经理人体系，建立“管理技术双通道”与“航计划”人才培养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董事长罗冰为集团核心实际控制人；总裁廖广明负责经营，代表公司出席省政府民企记者见面会；管理层兼具石化产业与资本运作经验。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获第十九届全国质量奖组织奖，建立较完善的质量、安全、环保与内控体系；国家级绿色工厂与省级智能工厂体现管理与数字化水平。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集团员工5,000余人，建立“管理技术双通道”发展路径及“航计划”人才培养体系，人才密度在民营炼化企业中居前。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壁垒：率先打通“炼油—芳烃—聚酯”全产业链，PX为山东省唯一列入国家布局的芳烃项目，炼化一体化带来成本与协同优势。二是规模与排名：2024年营收约905亿元、中国企业500强第282位，千万吨级炼化能力构成规模经济。三是资源与布局：两大炼化基地+曹妃甸烯烃项目+菏泽煤化工，环渤海产业基地协同；800余座油气站终端形成渠道壁垒。四是质量与品牌：全国质量奖、国家级绿色工厂、省级智能工厂，品牌与信用优势突出。五是战略与治理：清晰“减油、增化、增材”战略与良好文化生态，绑定巴斯夫、沙特阿美等国际伙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（重点）：炼化与芳烃、烯烃盈利随原油及化工品价差周期剧烈波动，历史上地炼盈利波动大；应对为全产业链对冲与“减油增化”提升化工品占比。二是大额资本开支风险：757亿元东营项目与345.6亿元曹妃甸项目并行，存在投产节奏、资金需求与市场错配风险。三是安全环保风险（重点）：石化生产属高危行业，安全环保合规压力大，须持续投入。四是原料与地缘风险：原油进口依赖度高，受国际油价与地缘影响；应对为资源多元化与套保。五是政策与能耗风险：双碳与能耗双控约束炼化扩张，须以低碳工艺（浆态床渣油加氢、连续重整）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聚酯、包装及化工客户的应收账款可开展保理。供应链金融：依托千万吨级炼化与“链主”地位，为上游原油/原料供应商、下游经销商提供订单与存货融资，形成批量资产。融资租赁：东营757亿元项目、曹妃甸烯烃项目及装置设备投资巨大，适合以新购设备直租/回租，山东投资可重点对接项目融资租赁。小贷：面向中小配套供应商短贷。鉴于企业规模大、信用强、链主地位突出，是稳健型重点客户，建议以“项目融资租赁+供应链金融”为主切入，并关注资本开支节奏与价差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富海集团新能源控股是河口区烯烃材料产业集群的链主企业、山东石化第一梯队龙头，全产业链、规模与品牌优势突出，但强周期、重资产、安全环保要求高、财务透明度有限、正处巨额资本开支期。发展展望：据行业趋势与公司规划，757亿元东营项目与曹妃甸烯烃项目建成后将形成1,500万吨炼油、300万吨PX、300万吨乙烯的产业规模，向千亿级高端能源化工集团迈进。建议：一是对接重大项目设备融资租赁，绑定项目现金流；二是以供应链金融服务链属企业；三是授信前核查负债结构与项目资本金安排；四是将安全环保合规作为持续监测重点，关联价差周期设置风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数据来源说明：天眼查/爱企查/企查查（工商、股权、资质、参保）、公司官网 fuhaikonggu.com（业务、产业链、项目）、百度百科（2024营收905亿、500强排名）、大众日报/鲁网（757亿项目、记者见面会）、爱企查企业知识库（两大基地、营收、项目）。近三年完整合并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