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山东省东营市河口区烯烃材料产业集群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山东彩客新材料有限公司企业分析报告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及权威媒体（大众日报、经济导报、同花顺、雪球、中国化工报等）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彩客新材料有限公司成立于2014年5月20日，曾用名东营华歌化学有限公司，法定代表人为段卫东，统一社会信用代码913705034941652770，企业类型为其他有限责任公司，注册资本27,726.1903万元（实缴27,726.1903万元），注册地址位于山东省东营市河口区蓝色经济产业园明园路7号，登记机关为东营市河口区市场监督管理局，经营状态为存续（营业期限至2034年5月19日）。人员规模未公示，2025年年报参保人数313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控股股东为彩客华煜化学有限公司，持股约90.1675%；中国石化集团资本有限公司（央企中国石化集团旗下投资平台）持股约2.1468%；其余由财务/产业投资人持有。公司隶属于彩客化学集团（港股上市公司，代码01970.HK），实际控制人为彩客化学控股股东体系。属民营控股、含央企（中石化资本）参股的精细化工与电池材料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彩客化学集团在山东东营的制造基地，设法定代表人（段卫东）及经营管理层；业务涵盖染料/颜料中间体（DSD酸等）与新能源锂电池电极材料（磷酸铁前驱体）双板块，位于河口区蓝色经济产业园，占地约500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2014年成立（原名东营华歌化学），是彩客化学集团重要生产基地；早期以DSD酸等染料中间体为主导，DSD酸生产规模居全球首位、市场占有率超70%。近年向新能源转型，布局锂电池正极材料前驱体磷酸铁；2023年完成A轮融资1.49亿元（估值22.51亿元），投资方含河北产业投资引导基金、舜宁基金、荣元资本、中电中金等；2025年入选SMM全球Tier1磷酸铁榜单，并获国家级专精特新“小巨人”企业认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染料/颜料中间体全球龙头向新能源电池材料延伸的“双主业”高新技术企业，是河口区烯烃材料产业集群中电池材料方向代表企业。主营业务为新材料技术研发、电子专用材料制造与销售、化工产品生产与销售（不含许可类）、货物及技术进出口；传统主导产品DSD酸、DMSS、DMAS、DIPS等酯类化学品，新兴产品为新能源汽车锂电池电极材料前驱体磷酸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形成“精细化工中间体+电池材料”双结构：传统染料中间体（DSD酸等）规模全球第一、贡献稳定现金流；新兴磷酸铁（锂电正极材料前驱体）为增量方向，契合新能源转型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DSD酸（年产2万吨，全球最大、市占率约57%—70%）、DMSS、DMAS、DIPS等多种酯类化学品（年产万吨级）；新能源锂电池电极材料前驱体磷酸铁（应用于动力电池领域）。产品70%出口欧美等二十多个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传统业务客户为全球染料、颜料及农药中间体企业，产品70%出口欧美等二十多个国家和地区；新能源磷酸铁业务面向锂电池正极材料企业。DSD酸以高稳定性与低成本直接拉动下游产业，客户粘性强。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生产所需主要原料为基础化工原料（如顺酐等）及能源，价格随化工行情波动；依托彩客化学集团采购与供应链体系保障原料供应。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资料，公司占地500亩、总投资21.5亿元，主要建设2万吨/年DSD酸、1万吨/年DMS、5,000吨/年DMSS、3,000吨/年DMAS项目，全部建成后可年创销售收入22亿元、利润6亿元。资质方面：国家级专精特新“小巨人”企业、瞪羚企业、创新型中小企业；2025年入选SMM全球Tier1磷酸铁榜单；持有相关化工生产许可与进出口资质；累计专利26项、商标3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以直销对接全球染料/颜料/农药中间体客户为主，70%产品出口欧美等二十多个国家和地区；新能源磷酸铁通过集团与行业客户渠道销售，开展进出口贸易。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DSD酸生产规模全球第一、市场占有率约57%—70%；磷酸铁入选2025年SMM全球Tier1榜单。公司为非上市单体（母公司彩客化学为港股01970.HK），近三年完整单体财务数据未公开披露；集团历史披露2019年营收约18.18亿元（为集团整体口径，非山东彩客单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山东彩客新材料为非上市单体（母公司彩客化学为港股01970.HK），近三年完整单体财务报表未公开披露；下表列示公开可获取信息，单位：万元，不作财务数据编造。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27,726.19（实缴27,726.19）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2014-05-20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彩客华煜化学（90.17%）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央企股东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中石化资本（约2.15%）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约313人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DSD酸产能/市占率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2万吨/年、全球约57%—70%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总投资/占地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21.5亿元、500亩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未公开披露（集团2019营收约18.18亿）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DSD酸全球龙头地位带来稳定现金流与溢价；磷酸铁业务处投入与放量期，盈利受锂价与磷酸铁行情影响。集团历史（2019年）毛利率约57%、净利约28%，体现精细化工高盈利特征（为集团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无公开单体资产数据。重资产属性（21.5亿元总投资、500亩厂区、产线装置），固定资产与土地占比高；DSD酸全球产能构成核心壁垒。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无公开负债数据。2023年A轮融资1.49亿元（估值22.51亿元）补充资本；建议授信前核查有息负债与对外担保。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无公开现金流数据。精细化工与电池材料产线资本开支较大，关注经营性现金流与融资节奏。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与精细化工及电池材料企业相比，彩客以DSD酸全球第一（市占率约57%—70%）的稀缺地位、70%出口比例与港股集团背景突出；磷酸铁入选SMM全球Tier1，新能源转型打开第二增长曲线。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其他有限责任公司，控股股东彩客华煜化学（90.17%），央企中石化资本参股（约2.15%）；设法定代表人（段卫东）及经营管理层，治理纳入彩客化学集团上市体系，规范度较高。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法定代表人段卫东；管理层由彩客化学集团派驻，兼具精细化工与新能源材料经验。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作为国家级专精特新“小巨人”、高新技术企业，建立质量、安全、环保与研发内控体系；依托港股集团合规框架，管理规范度较高。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参保约313人，人员规模较大、以生产与技术人员为主；作为高新技术企业具备研发团队，专利26项体现一定研发密度。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球龙头地位：DSD酸生产规模全球第一、市占率约57%—70%，具备定价与渠道壁垒。二是双主业协同：传统精细化工稳定现金流+新能源磷酸铁第二曲线，抗周期能力强。三是技术与资质：国家级专精特新“小巨人”、SMM全球Tier1磷酸铁、瞪羚企业；专利26项。四是股东与资本：港股彩客化学集团背书，央企中石化资本参股，2023年A轮融资1.49亿元。五是出口与渠道：产品70%出口欧美等二十多国，全球客户网络成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精细化工与磷酸铁均受原料及锂价周期影响，盈利波动。二是安全环保风险（重点）：化工生产涉及危化与环保，须持续合规投入。三是转型风险：磷酸铁处投入与放量期，存在良率、成本与市场接受度不确定性。四是原料价格风险：基础化工原料随行情波动。五是法律风险提示：公开信息显示存在一定司法案件记录，需强化合规与信用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染料/颜料及正极材料客户的应收账款可开展保理。供应链金融：围绕核心客户做订单融资、票据贴现，并服务上游原料供应商。融资租赁：DSD酸与磷酸铁产线设备投资适合直租/回租，支撑技改与扩产。小贷：面向临时周转。作为全球细分龙头、央企参股、技术稀缺企业，建议以“设备融资租赁+核心客户应收保理”组合切入，并关注周期与转型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彩客新材料是河口区烯烃材料集群中电池材料方向代表企业，DSD酸全球第一、双主业协同、央企参股、技术资质突出，但非上市单体财务不透明、处新能源转型投入期。发展展望：据行业趋势，磷酸铁需求随动力电池与储能增长，公司入选SMM全球Tier1，有望依托集团与资本优势打开第二增长曲线。建议：一是对接产线设备融资租赁与核心客户应收保理；二是要求补充规范财务资料并以增信控制风险；三是跟踪磷酸铁达产、锂价周期与危化合规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数据来源说明：天眼查/爱企查/企查查/水滴（工商、股权、资质、参保、风险）、公司官网与行业资料（DSD酸产能/市占率、500亩/21.5亿投资）、公开新闻（A轮1.49亿、SMM Tier1、中石化资本入股）、彩客化学集团信息（港股01970.HK）。近三年完整单体财务未公开披露，已如实标注。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