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山东省临朐县铝型材制品产业集群</w:t>
      </w:r>
    </w:p>
    <w:p>
      <w:pPr>
        <w:spacing w:lineRule="exact" w:line="600" w:before="240" w:after="240"/>
        <w:ind w:firstLine="0"/>
        <w:jc w:val="center"/>
      </w:pPr>
      <w:r>
        <w:rPr>
          <w:rFonts w:ascii="方正小标宋简体" w:hAnsi="方正小标宋简体" w:eastAsia="方正小标宋简体"/>
          <w:b w:val="0"/>
          <w:color w:val="000000"/>
          <w:sz w:val="44"/>
        </w:rPr>
        <w:t>东铝铝业科技(山东)有限公司企业分析报告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中国橡胶杂志社榜单、天眼查/爱企查/企查查、公司官网及权威媒体（人民网、大众日报、蓬莱政府网、临朐政府网、搜狐财经、新浪财经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东铝铝业科技（山东）有限公司（对应运营主体东铝铝业科技（潍坊）有限公司）成立于2022年4月11日，法定代表人张龙凯，统一社会信用代码91370700MA7N63HU50，企业类型为有限责任公司（港澳台投资、非独资），注册资本5,000万美元，注册地址位于山东省潍坊市临朐县东城街道黄山路东首，登记机关为潍坊市市场监督管理局，经营状态为开业。作为临朐县利用外资建设的高端铝合金精深加工出口项目主体，利用外资约1.69亿美元。</w:t>
      </w:r>
    </w:p>
    <w:p>
      <w:pPr>
        <w:spacing w:lineRule="exact" w:line="600" w:before="0" w:after="0"/>
        <w:ind w:firstLine="420"/>
        <w:jc w:val="both"/>
      </w:pPr>
      <w:r>
        <w:rPr>
          <w:rFonts w:ascii="仿宋_GB2312" w:hAnsi="仿宋_GB2312" w:eastAsia="仿宋_GB2312"/>
          <w:b w:val="0"/>
          <w:color w:val="000000"/>
          <w:sz w:val="32"/>
        </w:rPr>
        <w:t>股权结构：东铝铝业科技（潍坊）有限公司为港澳台投资企业（非独资），由境外投资方持股；属外商投资控股企业，无国有出资人。公司聚焦铝合金精深加工出口，是临朐铝型材产业集群中差异化定位的外贸型标的。</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公司下设高端铝合金精深加工出口项目产业园，业务涵盖金属材料制造、门窗制造加工、有色金属合金销售、模具销售、专业设计服务及货物进出口；拥有专门的外贸人才队伍，并从零基础培养外贸骨干。</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项目依托临朐县外资优惠政策与铝业全产链优势建设，利用外资约1.69亿美元，建成东铝铝业科技高端铝合金精深加工出口项目产业园；2024年项目生产产值达4.2亿元，客户返单率80%—90%。2026年4月“年产10万套铝合金绿色节能定制化产品项目”完成环评公示，扩产持续推进。</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注于铝合金精深加工出口的科技型企业，是临朐铝产业集群中“高新+尖端”的外贸型代表。主营业务为高端铝合金精深加工产品的研发、制造与出口，核心产品为高端铝制游艇升艇台、全铝智能阳光房、欧式高端铝制门庭系统、别墅安防系统护栏、澳洲DIY泳池防护套件、节能环保德式系统门窗等，并提供定制化、专业化一站式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高端铝合金深加工出口产品为主，形成“游艇升艇台+全铝阳光房+欧式门庭系统+别墅安防护栏+澳洲DIY泳池套件+德式系统门窗”结构，产品全部出口海外。2024年项目生产产值达4.2亿元，客户返单率80%—90%；2025年计划产能提升15%。</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高端铝制游艇升艇台、全铝智能阳光房、欧式高端铝制门庭系统、别墅安防系统护栏、澳洲DIY泳池防护套件、节能环保德式系统门窗；可根据国外不同用户需求打造个性化、差异化产品，制定以产品为核心的一整套服务方案，实现从“提供产品”到“优质服务”跃升。</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全部出口欧洲、澳大利亚、美国、加拿大、新西兰等地，发货单覆盖英国、法国、澳大利亚、美国、加拿大等上百份；每周从青岛港发出约10个40尺集装箱；2025年计划持续扩大俄罗斯市场。客户以海外终端消费者与经销商为主，返单率高体现产品力。</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生产所需主要原料为铝型材/铝棒（采购自临朐本地铝产业链）、五金配件等，依托临朐铝产业集群配套便利；铝价波动影响成本。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高端铝合金精深加工出口项目产业园建成投产，2024年产值4.2亿元；2026年“年产10万套铝合金绿色节能定制化产品项目”完成环评公示，扩产在即。拥有专门外贸团队与定制化设计能力，实现“产品超高强、耐腐蚀铝合金产品产业化关键技术”突破；作为利用外资1.69亿美元项目，享有外资与外贸政策优势。</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以出口直销为主，每周青岛港发运约10个40尺集装箱；积极参加英国、智利等国国际展会及广交会，自主培养外贸人才，渠道以海外终端与经销商并重。</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人民网/临朐政府网报道，2024年项目生产产值达4.2亿元，客户返单率80%—90%，2025年一季度加工类订单排至6月、型材类排至4月，计划产能提升15%。注：公司为非上市外商投资企业，完整财务报表未公开披露，上述为政府披露口径。</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东铝铝业科技（山东）为非上市外商投资企业，近三年完整财务报表未公开披露；下表列示公开可获取数据，不作财务数据编造。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5,000万美元（东铝铝业科技潍坊）</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2022-04-11</w:t>
            </w:r>
          </w:p>
        </w:tc>
      </w:tr>
      <w:tr>
        <w:tc>
          <w:tcPr>
            <w:tcW w:type="dxa" w:w="2551"/>
          </w:tcPr>
          <w:p>
            <w:pPr>
              <w:spacing w:lineRule="exact" w:line="600"/>
              <w:jc w:val="center"/>
            </w:pPr>
            <w:r/>
            <w:r>
              <w:rPr>
                <w:rFonts w:ascii="仿宋_GB2312" w:hAnsi="仿宋_GB2312" w:eastAsia="仿宋_GB2312"/>
                <w:b w:val="0"/>
                <w:color w:val="000000"/>
                <w:sz w:val="32"/>
              </w:rPr>
              <w:t>利用外资</w:t>
            </w:r>
          </w:p>
        </w:tc>
        <w:tc>
          <w:tcPr>
            <w:tcW w:type="dxa" w:w="6236"/>
          </w:tcPr>
          <w:p>
            <w:pPr>
              <w:spacing w:lineRule="exact" w:line="600"/>
              <w:jc w:val="center"/>
            </w:pPr>
            <w:r/>
            <w:r>
              <w:rPr>
                <w:rFonts w:ascii="仿宋_GB2312" w:hAnsi="仿宋_GB2312" w:eastAsia="仿宋_GB2312"/>
                <w:b w:val="0"/>
                <w:color w:val="000000"/>
                <w:sz w:val="32"/>
              </w:rPr>
              <w:t>约1.69亿美元（项目）</w:t>
            </w:r>
          </w:p>
        </w:tc>
      </w:tr>
      <w:tr>
        <w:tc>
          <w:tcPr>
            <w:tcW w:type="dxa" w:w="2551"/>
          </w:tcPr>
          <w:p>
            <w:pPr>
              <w:spacing w:lineRule="exact" w:line="600"/>
              <w:jc w:val="center"/>
            </w:pPr>
            <w:r/>
            <w:r>
              <w:rPr>
                <w:rFonts w:ascii="仿宋_GB2312" w:hAnsi="仿宋_GB2312" w:eastAsia="仿宋_GB2312"/>
                <w:b w:val="0"/>
                <w:color w:val="000000"/>
                <w:sz w:val="32"/>
              </w:rPr>
              <w:t>2024年项目产值</w:t>
            </w:r>
          </w:p>
        </w:tc>
        <w:tc>
          <w:tcPr>
            <w:tcW w:type="dxa" w:w="6236"/>
          </w:tcPr>
          <w:p>
            <w:pPr>
              <w:spacing w:lineRule="exact" w:line="600"/>
              <w:jc w:val="center"/>
            </w:pPr>
            <w:r/>
            <w:r>
              <w:rPr>
                <w:rFonts w:ascii="仿宋_GB2312" w:hAnsi="仿宋_GB2312" w:eastAsia="仿宋_GB2312"/>
                <w:b w:val="0"/>
                <w:color w:val="000000"/>
                <w:sz w:val="32"/>
              </w:rPr>
              <w:t>约4.2亿元</w:t>
            </w:r>
          </w:p>
        </w:tc>
      </w:tr>
      <w:tr>
        <w:tc>
          <w:tcPr>
            <w:tcW w:type="dxa" w:w="2551"/>
          </w:tcPr>
          <w:p>
            <w:pPr>
              <w:spacing w:lineRule="exact" w:line="600"/>
              <w:jc w:val="center"/>
            </w:pPr>
            <w:r/>
            <w:r>
              <w:rPr>
                <w:rFonts w:ascii="仿宋_GB2312" w:hAnsi="仿宋_GB2312" w:eastAsia="仿宋_GB2312"/>
                <w:b w:val="0"/>
                <w:color w:val="000000"/>
                <w:sz w:val="32"/>
              </w:rPr>
              <w:t>客户返单率</w:t>
            </w:r>
          </w:p>
        </w:tc>
        <w:tc>
          <w:tcPr>
            <w:tcW w:type="dxa" w:w="6236"/>
          </w:tcPr>
          <w:p>
            <w:pPr>
              <w:spacing w:lineRule="exact" w:line="600"/>
              <w:jc w:val="center"/>
            </w:pPr>
            <w:r/>
            <w:r>
              <w:rPr>
                <w:rFonts w:ascii="仿宋_GB2312" w:hAnsi="仿宋_GB2312" w:eastAsia="仿宋_GB2312"/>
                <w:b w:val="0"/>
                <w:color w:val="000000"/>
                <w:sz w:val="32"/>
              </w:rPr>
              <w:t>80%—90%</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财务数据未公开披露。高端铝合金深加工出口产品附加值较高，客户返单率80%—90%反映较强盈利与客户粘性；产能提升15%计划支撑增长。</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无公开资产数据。重资产属性下厂房、加工设备与模具占比较大，外资项目资产投入充足。</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无公开负债数据。利用外资1.69亿美元建设，资本开支较大，建议授信前核查融资结构与股东支持。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无公开现金流数据。出口业务回款相对规范（信用证/电汇），但扩产投入期现金流需关注。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与华建铝业（产能80万吨、建材龙头）相比，东铝铝业聚焦高附加值出口深加工（游艇升艇台、阳光房等），规模较小但差异化定位清晰、出口与客户返单表现优异，是集群中“专精特新”外贸型代表。</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公司为港澳台投资企业（非独资），设法定代表人张龙凯及经营管理层；重大事项由股东方决策，兼顾外资合规与市场化运营。</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法定代表人张龙凯；总经理助理郝香等负责生产与外贸对接，管理团队兼具制造与外贸经验。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作为出口制造企业，建立定制化设计与质量管控体系，实现“超高强、耐腐蚀铝合金产品产业化关键技术”突破；须关注安全生产与环保合规。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公司自主培养专门外贸人才队伍（从零基础培养“领头雁”），并参加国际展会；生产以技术工人为主，具体参保人数未公开披露（母公司口径参保较少，制造人员或在项目公司）。</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差异化产品定位：聚焦游艇升艇台、全铝阳光房、欧式门庭、澳洲DIY泳池套件等高端出口深加工，避开普通建材内卷。二是客户与返单壁垒：产品全部出口欧美澳新，客户返单率80%—90%，品牌与口碑稳固。三是定制化能力：按国外需求提供个性化、差异化产品与一站式服务方案，附加值高。四是产业集群配套：依托临朐铝产业链上游铝型材供应与配套便利，成本与交期可控。五是外资与政策优势：利用外资1.69亿美元，享外资与外贸政策支持，出口通道顺畅（青岛港每周10柜）。</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贸易与汇率风险（重点）：产品全部出口，受目的国贸易政策、反倾销及汇率波动影响大；应对为市场多元化（扩俄罗斯等）与套保。二是客户集中与需求风险：依赖海外终端消费，受海外地产与消费周期影响；应对为品类扩展与返单维护。三是原料价格风险：铝价波动影响成本；应对为本地集采。四是扩产风险：年产10万套项目资本开支大，存在产能消化不确定性。五是合规风险：出口涉及认证与合规，须持续满足目的国标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应收账款（信用证/电汇）可开展保理融资，改善现金流。供应链金融：为上游临朐铝型材供应商提供订单融资。融资租赁：定制化加工设备、模具升级适合直租/回租。小贷：面向临时周转。东铝铝业出口表现优异、返单率高、外资背景清晰，是外贸型成长标的，建议以“出口应收保理+设备融资租赁”切入，并关注贸易与汇率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铝铝业是临朐铝型材集群中差异化定位的高端铝合金出口深加工企业，产品附加值高、客户返单率优异、外资与外贸政策优势明显，但规模偏小、财务不透明、高度依赖出口。发展展望：据行业趋势与政策导向，海外高端铝制家居/庭院产品需求增长，公司年产10万套项目达产后成长空间较大，并计划拓展俄罗斯等市场。建议：一是对接出口应收保理与设备融资租赁；二是要求补充规范财务资料并以增信控制风险；三是关注贸易壁垒、汇率波动与扩产进度，建立动态监测；四是发挥临朐集群配套优势，强化与华建等龙头的协同。</w:t>
      </w:r>
    </w:p>
    <w:p>
      <w:pPr>
        <w:spacing w:lineRule="exact" w:line="600" w:before="0" w:after="0"/>
        <w:jc w:val="left"/>
      </w:pPr>
      <w:r>
        <w:rPr>
          <w:rFonts w:ascii="仿宋_GB2312" w:hAnsi="仿宋_GB2312" w:eastAsia="仿宋_GB2312"/>
          <w:b w:val="0"/>
          <w:color w:val="000000"/>
          <w:sz w:val="28"/>
        </w:rPr>
        <w:t>数据来源说明：人民网-山东频道、临朐县政府网（2024年产值4.2亿、订单排产、出口市场）、天眼查/爱企查/外企查（东铝铝业科技（潍坊）工商股权、注册资本、成立时间）、招标网环评公示（年产10万套项目）。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