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山东省临朐县铝型材制品产业集群</w:t>
      </w:r>
    </w:p>
    <w:p>
      <w:pPr>
        <w:spacing w:lineRule="exact" w:line="600" w:before="240" w:after="240"/>
        <w:ind w:firstLine="0"/>
        <w:jc w:val="center"/>
      </w:pPr>
      <w:r>
        <w:rPr>
          <w:rFonts w:ascii="方正小标宋简体" w:hAnsi="方正小标宋简体" w:eastAsia="方正小标宋简体"/>
          <w:b w:val="0"/>
          <w:color w:val="000000"/>
          <w:sz w:val="44"/>
        </w:rPr>
        <w:t>山东普林斯盾金属制品有限公司企业分析报告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普林斯盾金属制品有限公司成立于2009年5月14日，法定代表人为马立锟，统一社会信用代码9137072468945188XM，企业类型为有限责任公司（自然人投资或控股的法人独资），注册资本200万元人民币，注册地址位于山东省潍坊市临朐县东城街道南环路2788号，登记机关为临朐县市场监督管理局，经营状态为在营（开业）企业。公司曾用名包括"潍坊皇室建材有限公司""临朐县锦洲钢结构有限公司"，后更名为现名，主营业务由早期的钢结构、建材逐步聚焦至铝型材下游应用制品。</w:t>
      </w:r>
    </w:p>
    <w:p>
      <w:pPr>
        <w:spacing w:lineRule="exact" w:line="600" w:before="0" w:after="0"/>
        <w:ind w:firstLine="420"/>
        <w:jc w:val="both"/>
      </w:pPr>
      <w:r>
        <w:rPr>
          <w:rFonts w:ascii="仿宋_GB2312" w:hAnsi="仿宋_GB2312" w:eastAsia="仿宋_GB2312"/>
          <w:b w:val="0"/>
          <w:color w:val="000000"/>
          <w:sz w:val="32"/>
        </w:rPr>
        <w:t>股权结构：公司股东为青岛森耀控股有限公司，持股比例为100%，为法人独资；青岛森耀控股由自然人于良持股90%、王晓宁持股10%。公司实际控制人为于良。公司无国有出资人，为民营控股企业。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以山东普林斯盾金属制品有限公司为主体开展经营，下设生产、研发、采购、销售与电商运营等部门，依托临朐"中国铝型材产业基地"的集群配套，形成从铝型材采购、表面处理、精加工到成品组装的一体化制造体系，并通过阿里系电商平台运营"普林斯盾"品牌旗舰店。</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潍坊皇室建材有限公司"早期从事建材与钢结构业务；2011年前后更名为"临朐县锦洲钢结构有限公司"，后于现名"山东普林斯盾金属制品有限公司"体系下聚焦铝制庭院与市政景观制品。依托临朐铝型材产业集群的原材料与加工配套优势，企业逐步从传统建材加工向铝制护栏、花箱、凉亭等市政园林与庭院景观产品转型，并获评山东省"专精特新"中小企业、科技型中小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临朐县铝型材制品产业集群中"下游应用与循环利用"环节的代表企业，主营铝合金护栏、铝合金花箱、铝制凉亭、铝合金遮阳棚等铝制景观与市政设施制品的研发、生产与销售，产品广泛应用于市政园林、房地产景观、庭院别墅及道路交通隔离等场景，属于铝型材产业链的终端深加工与应用环节。</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铝制景观市政制品为核心，覆盖铝合金护栏、花箱、凉亭、遮阳棚等品类。公司未公开披露分产品收入占比；从经营形态看，业务由B端市政与工程订单、房地产景观集采，以及C端电商零售（阿里园艺类目顶级卖家）共同构成。</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铝合金组合护栏（市政道路、小区、庭院用）、铝合金花箱（道路隔离带、公园绿化用）、铝制凉亭与廊架、铝合金遮阳棚（雨棚）等。产品以铝型材为基材，具有免焊接拼装、耐腐蚀、可回收等特点，契合市政与景观工程对耐久性和环保性的要求。"普林斯盾"品牌在铝制护栏、花箱细分品类具备一定线上知名度。</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结构涵盖市政园林工程单位、房地产景观绿化施工单位、市政设施采购方及终端家庭用户。线上渠道方面，公司在阿里巴巴（1688）园艺类目为顶级卖家，面向全国经销商与零售客户；线下依托临朐本地及周边工程渠道获客。</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材料为铝型材（基材），主要从临朐县本地铝型材产业集群（如华建铝业等龙头）及周边型材厂采购，具备就近配套、供应稳定、运输成本低的优势；辅材包括粉末涂料、连接件、紧固件等。原料成本受铝价波动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参保人数约71人（工商登记口径），属中小规模制造企业。企业拥有"专精特新"中小企业、科技型中小企业资质，累计注册商标约48件、专利约37件，具备一定的产品设计与技术积累。产能以铝制景观制品的精加工与组装为主，未公开披露具体产线规模。</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采用"线上电商 + 线下工程"双轮驱动：线上以阿里巴巴1688园艺顶级卖家为核心触达全国分销与零售客户；线下通过工程直销、经销商网络对接市政与房地产景观项目。</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公司未公开披露年度营收、产量等经营数据。作为临朐铝型材产业集群下游应用环节的民营中小企业，其在铝制护栏、花箱等细分品类有一定市场覆盖，但整体规模在集群内属中小型，市占率未有权威公开统计。</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山东普林斯盾金属制品有限公司为非上市民营企业，近三年完整审计财务报表未公开披露；以下列工商登记及公开渠道可获取的基础信息，单位：万元，不作财务数据编造。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200</w:t>
            </w:r>
          </w:p>
        </w:tc>
      </w:tr>
      <w:tr>
        <w:tc>
          <w:tcPr>
            <w:tcW w:type="dxa" w:w="2551"/>
          </w:tcPr>
          <w:p>
            <w:pPr>
              <w:spacing w:lineRule="exact" w:line="600"/>
              <w:jc w:val="center"/>
            </w:pPr>
            <w:r/>
            <w:r>
              <w:rPr>
                <w:rFonts w:ascii="仿宋_GB2312" w:hAnsi="仿宋_GB2312" w:eastAsia="仿宋_GB2312"/>
                <w:b w:val="0"/>
                <w:color w:val="000000"/>
                <w:sz w:val="32"/>
              </w:rPr>
              <w:t>法定代表人</w:t>
            </w:r>
          </w:p>
        </w:tc>
        <w:tc>
          <w:tcPr>
            <w:tcW w:type="dxa" w:w="6236"/>
          </w:tcPr>
          <w:p>
            <w:pPr>
              <w:spacing w:lineRule="exact" w:line="600"/>
              <w:jc w:val="center"/>
            </w:pPr>
            <w:r/>
            <w:r>
              <w:rPr>
                <w:rFonts w:ascii="仿宋_GB2312" w:hAnsi="仿宋_GB2312" w:eastAsia="仿宋_GB2312"/>
                <w:b w:val="0"/>
                <w:color w:val="000000"/>
                <w:sz w:val="32"/>
              </w:rPr>
              <w:t>马立锟</w:t>
            </w:r>
          </w:p>
        </w:tc>
      </w:tr>
      <w:tr>
        <w:tc>
          <w:tcPr>
            <w:tcW w:type="dxa" w:w="2551"/>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青岛森耀控股有限公司（100%）</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约71人（工商登记口径）</w:t>
            </w:r>
          </w:p>
        </w:tc>
      </w:tr>
      <w:tr>
        <w:tc>
          <w:tcPr>
            <w:tcW w:type="dxa" w:w="2551"/>
          </w:tcPr>
          <w:p>
            <w:pPr>
              <w:spacing w:lineRule="exact" w:line="600"/>
              <w:jc w:val="center"/>
            </w:pPr>
            <w:r/>
            <w:r>
              <w:rPr>
                <w:rFonts w:ascii="仿宋_GB2312" w:hAnsi="仿宋_GB2312" w:eastAsia="仿宋_GB2312"/>
                <w:b w:val="0"/>
                <w:color w:val="000000"/>
                <w:sz w:val="32"/>
              </w:rPr>
              <w:t>资产总额</w:t>
            </w:r>
          </w:p>
        </w:tc>
        <w:tc>
          <w:tcPr>
            <w:tcW w:type="dxa" w:w="6236"/>
          </w:tcPr>
          <w:p>
            <w:pPr>
              <w:spacing w:lineRule="exact" w:line="600"/>
              <w:jc w:val="center"/>
            </w:pPr>
            <w:r/>
            <w:r>
              <w:rPr>
                <w:rFonts w:ascii="仿宋_GB2312" w:hAnsi="仿宋_GB2312" w:eastAsia="仿宋_GB2312"/>
                <w:b w:val="0"/>
                <w:color w:val="000000"/>
                <w:sz w:val="32"/>
              </w:rPr>
              <w:t>未公开披露</w:t>
            </w:r>
          </w:p>
        </w:tc>
      </w:tr>
      <w:tr>
        <w:tc>
          <w:tcPr>
            <w:tcW w:type="dxa" w:w="2551"/>
          </w:tcPr>
          <w:p>
            <w:pPr>
              <w:spacing w:lineRule="exact" w:line="600"/>
              <w:jc w:val="center"/>
            </w:pPr>
            <w:r/>
            <w:r>
              <w:rPr>
                <w:rFonts w:ascii="仿宋_GB2312" w:hAnsi="仿宋_GB2312" w:eastAsia="仿宋_GB2312"/>
                <w:b w:val="0"/>
                <w:color w:val="000000"/>
                <w:sz w:val="32"/>
              </w:rPr>
              <w:t>营业收入</w:t>
            </w:r>
          </w:p>
        </w:tc>
        <w:tc>
          <w:tcPr>
            <w:tcW w:type="dxa" w:w="6236"/>
          </w:tcPr>
          <w:p>
            <w:pPr>
              <w:spacing w:lineRule="exact" w:line="600"/>
              <w:jc w:val="center"/>
            </w:pPr>
            <w:r/>
            <w:r>
              <w:rPr>
                <w:rFonts w:ascii="仿宋_GB2312" w:hAnsi="仿宋_GB2312" w:eastAsia="仿宋_GB2312"/>
                <w:b w:val="0"/>
                <w:color w:val="000000"/>
                <w:sz w:val="32"/>
              </w:rPr>
              <w:t>未公开披露</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未公开披露盈利数据。铝制景观制品行业毛利率受铝价、加工费及产品结构影响，中小企业盈利能力取决于品牌溢价与渠道效率；公司凭借"专精特新"资质与线上品牌运营，较传统代工企业具备一定议价空间。</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无公开资产数据。企业属轻资产型加工组装模式，固定资产占比较低，资产以存货、应收及设备为主。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无公开负债数据。建议授信前核查有息负债、对外担保及实控人连带情况；中小企业融资可结合订单与应收账款状况评估。</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无公开现金流数据。中小制造与电商企业受应收账款及备货周期影响，经营性现金流波动较大，建议以实控人及关联企业合并口径跟踪。</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临朐铝型材产业集群内，普林斯盾属下游应用环节的中小型民营企业，与集群内大型型材龙头（如华建铝业）形成配套协作关系；相较纯型材加工企业，其优势在于终端产品品牌与渠道，短板在于规模与资金实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公司为有限责任公司（法人独资），由青岛森耀控股100%持股，设执行董事/经理及监事；日常经营由实际控制人于良主导，治理结构简单，符合中小民营企业特征。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法定代表人、执行董事兼经理为马立锟；实际控制人于良通过青岛森耀控股间接主导公司战略与经营决策。</w:t>
      </w:r>
    </w:p>
    <w:p>
      <w:pPr>
        <w:spacing w:lineRule="exact" w:line="600" w:before="120" w:after="120"/>
        <w:ind w:firstLine="420"/>
        <w:jc w:val="left"/>
      </w:pPr>
      <w:r>
        <w:rPr>
          <w:rFonts w:ascii="楷体_GB2312" w:hAnsi="楷体_GB2312" w:eastAsia="楷体_GB2312"/>
          <w:b w:val="0"/>
          <w:color w:val="000000"/>
          <w:sz w:val="32"/>
        </w:rPr>
        <w:t>（三）组织内控</w:t>
      </w:r>
    </w:p>
    <w:p>
      <w:pPr>
        <w:spacing w:lineRule="exact" w:line="600" w:before="0" w:after="0"/>
        <w:ind w:firstLine="420"/>
        <w:jc w:val="both"/>
      </w:pPr>
      <w:r>
        <w:rPr>
          <w:rFonts w:ascii="仿宋_GB2312" w:hAnsi="仿宋_GB2312" w:eastAsia="仿宋_GB2312"/>
          <w:b w:val="0"/>
          <w:color w:val="000000"/>
          <w:sz w:val="32"/>
        </w:rPr>
        <w:t>公司未公开披露详细内控制度。作为中小制造企业，内控以生产、采购、销售与质量的职能分工为主，建议完善财务规范与关联交易管理。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工商登记参保人数约71人，团队以生产技工、电商运营与设计研发人员为主；企业拥有约37件专利、48件商标，反映一定的技术与品牌运营人力储备。</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（一）产业集群配套优势</w:t>
      </w:r>
    </w:p>
    <w:p>
      <w:pPr>
        <w:spacing w:lineRule="exact" w:line="600" w:before="0" w:after="0"/>
        <w:ind w:firstLine="420"/>
        <w:jc w:val="both"/>
      </w:pPr>
      <w:r>
        <w:rPr>
          <w:rFonts w:ascii="仿宋_GB2312" w:hAnsi="仿宋_GB2312" w:eastAsia="仿宋_GB2312"/>
          <w:b w:val="0"/>
          <w:color w:val="000000"/>
          <w:sz w:val="32"/>
        </w:rPr>
        <w:t>地处"中国铝型材产业基地"临朐，原材料就近采购、配套完善、供应链响应快，显著降低采购与物流成本。</w:t>
      </w:r>
    </w:p>
    <w:p>
      <w:pPr>
        <w:spacing w:lineRule="exact" w:line="600" w:before="120" w:after="120"/>
        <w:ind w:firstLine="420"/>
        <w:jc w:val="left"/>
      </w:pPr>
      <w:r>
        <w:rPr>
          <w:rFonts w:ascii="楷体_GB2312" w:hAnsi="楷体_GB2312" w:eastAsia="楷体_GB2312"/>
          <w:b w:val="0"/>
          <w:color w:val="000000"/>
          <w:sz w:val="32"/>
        </w:rPr>
        <w:t>（二）品牌与渠道优势</w:t>
      </w:r>
    </w:p>
    <w:p>
      <w:pPr>
        <w:spacing w:lineRule="exact" w:line="600" w:before="0" w:after="0"/>
        <w:ind w:firstLine="420"/>
        <w:jc w:val="both"/>
      </w:pPr>
      <w:r>
        <w:rPr>
          <w:rFonts w:ascii="仿宋_GB2312" w:hAnsi="仿宋_GB2312" w:eastAsia="仿宋_GB2312"/>
          <w:b w:val="0"/>
          <w:color w:val="000000"/>
          <w:sz w:val="32"/>
        </w:rPr>
        <w:t>"普林斯盾"品牌在铝制护栏、花箱品类具备线上知名度，阿里巴巴园艺类目顶级卖家地位带来稳定的全国分销流量；"专精特新"与科技型中小企业资质增强政府项目与集采竞争力。</w:t>
      </w:r>
    </w:p>
    <w:p>
      <w:pPr>
        <w:spacing w:lineRule="exact" w:line="600" w:before="120" w:after="120"/>
        <w:ind w:firstLine="420"/>
        <w:jc w:val="left"/>
      </w:pPr>
      <w:r>
        <w:rPr>
          <w:rFonts w:ascii="楷体_GB2312" w:hAnsi="楷体_GB2312" w:eastAsia="楷体_GB2312"/>
          <w:b w:val="0"/>
          <w:color w:val="000000"/>
          <w:sz w:val="32"/>
        </w:rPr>
        <w:t>（三）产品与知识产权壁垒</w:t>
      </w:r>
    </w:p>
    <w:p>
      <w:pPr>
        <w:spacing w:lineRule="exact" w:line="600" w:before="0" w:after="0"/>
        <w:ind w:firstLine="420"/>
        <w:jc w:val="both"/>
      </w:pPr>
      <w:r>
        <w:rPr>
          <w:rFonts w:ascii="仿宋_GB2312" w:hAnsi="仿宋_GB2312" w:eastAsia="仿宋_GB2312"/>
          <w:b w:val="0"/>
          <w:color w:val="000000"/>
          <w:sz w:val="32"/>
        </w:rPr>
        <w:t>累计约37件专利、48件商标构成一定的设计与品牌护城河；免焊接拼装、可回收等差异化产品特性契合市政景观需求。</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铝价波动直接传导至原材料成本；房地产与市政园林投资周期影响下游需求；行业进入门槛偏低，同质化竞争激烈。</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公司规模偏小，抗周期能力弱；过度依赖单一品类与线上流量，若平台规则或流量成本变化将影响销售。</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财务未公开披露，信息透明度低；中小民营企业普遍面临融资难、现金流偏紧问题。</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铝制品表面处理涉及环保（喷涂、废水废气）合规要求，需持续满足环保监管。</w:t>
      </w:r>
    </w:p>
    <w:p>
      <w:pPr>
        <w:spacing w:lineRule="exact" w:line="600" w:before="120" w:after="120"/>
        <w:ind w:firstLine="420"/>
        <w:jc w:val="left"/>
      </w:pPr>
      <w:r>
        <w:rPr>
          <w:rFonts w:ascii="楷体_GB2312" w:hAnsi="楷体_GB2312" w:eastAsia="楷体_GB2312"/>
          <w:b w:val="0"/>
          <w:color w:val="000000"/>
          <w:sz w:val="32"/>
        </w:rPr>
        <w:t>（五）管理风险与应对措施</w:t>
      </w:r>
    </w:p>
    <w:p>
      <w:pPr>
        <w:spacing w:lineRule="exact" w:line="600" w:before="0" w:after="0"/>
        <w:ind w:firstLine="420"/>
        <w:jc w:val="both"/>
      </w:pPr>
      <w:r>
        <w:rPr>
          <w:rFonts w:ascii="仿宋_GB2312" w:hAnsi="仿宋_GB2312" w:eastAsia="仿宋_GB2312"/>
          <w:b w:val="0"/>
          <w:color w:val="000000"/>
          <w:sz w:val="32"/>
        </w:rPr>
        <w:t>股权与决策高度集中于实控人，治理规范性待提升。建议引入规范化财务与内控体系，并拓展工程与政采渠道以分散单一电商依赖。</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（一）融资痛点</w:t>
      </w:r>
    </w:p>
    <w:p>
      <w:pPr>
        <w:spacing w:lineRule="exact" w:line="600" w:before="0" w:after="0"/>
        <w:ind w:firstLine="420"/>
        <w:jc w:val="both"/>
      </w:pPr>
      <w:r>
        <w:rPr>
          <w:rFonts w:ascii="仿宋_GB2312" w:hAnsi="仿宋_GB2312" w:eastAsia="仿宋_GB2312"/>
          <w:b w:val="0"/>
          <w:color w:val="000000"/>
          <w:sz w:val="32"/>
        </w:rPr>
        <w:t>作为中小民营制造企业，缺乏足额抵质押物，银行信贷获取受限；电商与工程订单的备货、应收账款占用资金，存在流动性需求。</w:t>
      </w:r>
    </w:p>
    <w:p>
      <w:pPr>
        <w:spacing w:lineRule="exact" w:line="600" w:before="120" w:after="120"/>
        <w:ind w:firstLine="420"/>
        <w:jc w:val="left"/>
      </w:pPr>
      <w:r>
        <w:rPr>
          <w:rFonts w:ascii="楷体_GB2312" w:hAnsi="楷体_GB2312" w:eastAsia="楷体_GB2312"/>
          <w:b w:val="0"/>
          <w:color w:val="000000"/>
          <w:sz w:val="32"/>
        </w:rPr>
        <w:t>（二）协同切入建议</w:t>
      </w:r>
    </w:p>
    <w:p>
      <w:pPr>
        <w:spacing w:lineRule="exact" w:line="600" w:before="0" w:after="0"/>
        <w:ind w:firstLine="420"/>
        <w:jc w:val="both"/>
      </w:pPr>
      <w:r>
        <w:rPr>
          <w:rFonts w:ascii="仿宋_GB2312" w:hAnsi="仿宋_GB2312" w:eastAsia="仿宋_GB2312"/>
          <w:b w:val="0"/>
          <w:color w:val="000000"/>
          <w:sz w:val="32"/>
        </w:rPr>
        <w:t>一是供应链金融：可基于其与临朐铝型材龙头的采购应付账款，提供反向保理或订单融资；二是融资租赁：对喷涂、加工等设备更新提供直租/回租；三是商业保理：以其对市政、地产客户的应收账款办理保理，盘活流动资金；四是小额贷款：在风险可控前提下提供短期过桥资金。山东投资的产业金融工具可与临朐集群整体开发结合，形成"龙头+配套"的批量服务方案。</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普林斯盾是临朐铝型材产业集群下游应用环节具有品牌与渠道特色的中小民营企业，依托集群配套与线上运营建立差异化定位，但规模偏小、财务透明度低、抗周期能力有限。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据行业趋势，市政园林与庭院景观对免维护、可回收铝制品的需求持续增长；公司有望通过产品系列化（拓展至户外家具、市政设施）与渠道多元化（工程+政采+电商）扩大规模。</w:t>
      </w:r>
    </w:p>
    <w:p>
      <w:pPr>
        <w:spacing w:lineRule="exact" w:line="600" w:before="120" w:after="120"/>
        <w:ind w:firstLine="420"/>
        <w:jc w:val="left"/>
      </w:pPr>
      <w:r>
        <w:rPr>
          <w:rFonts w:ascii="楷体_GB2312" w:hAnsi="楷体_GB2312" w:eastAsia="楷体_GB2312"/>
          <w:b w:val="0"/>
          <w:color w:val="000000"/>
          <w:sz w:val="32"/>
        </w:rPr>
        <w:t>（三）建议</w:t>
      </w:r>
    </w:p>
    <w:p>
      <w:pPr>
        <w:spacing w:lineRule="exact" w:line="600" w:before="0" w:after="0"/>
        <w:ind w:firstLine="420"/>
        <w:jc w:val="both"/>
      </w:pPr>
      <w:r>
        <w:rPr>
          <w:rFonts w:ascii="仿宋_GB2312" w:hAnsi="仿宋_GB2312" w:eastAsia="仿宋_GB2312"/>
          <w:b w:val="0"/>
          <w:color w:val="000000"/>
          <w:sz w:val="32"/>
        </w:rPr>
        <w:t>建议公司：①提升财务规范与信息披露，增强融资信用；②拓展工程与政府采购渠道，降低电商单一依赖；③以山东投资产业金融为纽带，对接集群龙头企业供应链，实现稳健扩产。</w:t>
      </w:r>
    </w:p>
    <w:p>
      <w:pPr>
        <w:spacing w:lineRule="exact" w:line="600" w:before="0" w:after="0"/>
        <w:jc w:val="left"/>
      </w:pPr>
      <w:r>
        <w:rPr>
          <w:rFonts w:ascii="仿宋_GB2312" w:hAnsi="仿宋_GB2312" w:eastAsia="仿宋_GB2312"/>
          <w:b w:val="0"/>
          <w:color w:val="000000"/>
          <w:sz w:val="28"/>
        </w:rPr>
        <w:t>数据来源说明：国家企业信用信息公示系统/天眼查（工商登记、股权、参保、资质）、阿里巴巴1688（园艺类目卖家与品牌信息）、临朐县企业公开信息等。财务数据未公开披露，已如实标注。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