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山东省冠县镀涂钢板制品产业集群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山东冠洲股份有限公司企业分析报告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爱企查、水滴信用、公司官网及权威媒体（新华网山东频道、茌平区政府网、冠县政府网、高校就业网、东方财富/同花顺等公开渠道）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冠洲股份有限公司成立于1999年7月14日，法定代表人张昭，统一社会信用代码913700007207541343，企业类型为股份有限公司（非上市），注册资本25,268万元人民币，登记机关为聊城市市场监督管理局，经营状态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注册地址位于山东省聊城市冠县振兴东路389号，经营范围涵盖冷轧带钢、镀锌板带钢、彩涂板、稀土永磁制品、新型结构陶瓷复合制品、高速公路防护栏等加工制造销售及进出口业务。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股权结构：据企业年报，主要股东为冠鑫资产（认缴20,719.82万元，约82%）、冠润实业（3,032.10万元）、供销公司（758.04万元）、镀锡钢板（758.04万元），为民营控股。公司占地约1,800亩。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公司设董事长兼总经理（张昭）及董事、监事若干，建有企业技术中心与理化检测中心，配套热电厂与天然气能源项目，形成"三板一体化"（冷轧—镀锌—彩涂）生产体系。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1999年设立，长期专注涂镀钢板领域，现已成为集冷轧板、镀锌板、彩涂板研究、生产、经营于一体的现代化大型企业，是国家《建筑装饰用彩钢板》等16项国家、行业及团体标准编制单位，荣获山东省制造业单项冠军、山东省质量标杆、第七届市长质量奖、全国守合同重信用企业等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企业定位为"国内涂镀层板材品种齐全、单体产能较大的生产企业"。主导产品为冠洲牌镀锌板、彩涂板（山东名牌产品），冠洲商标为中国驰名商标；同时生产冷轧板、镀铝锌板、稀土永磁材料等。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冷轧板、镀锌（铝）板、彩涂板三大板材为主，辅以稀土永磁材料（钕铁硼）与氧化锌。已形成的生产规模：年产200万吨冷轧板、160万吨镀锌（铝）板、130万吨彩涂板、60万吨镀铝锌硅板、40万吨退火板、3,000吨高性能钕铁硼稀土永磁材料、1万吨氧化锌。冷轧板、镀锌板、彩涂板产能分别位居全国同行业第七、第五、第一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镀锌板、镀铝锌板、彩涂板、冷轧板、印花板、家电板等，厚度0.12—4.0mm、宽度600—1,600mm，镀层涵盖DX51D—DX57D、S220GD—S550GD、G300—G550等全系列牌号，应用于建筑围护、家电、汽车、光伏支架、工程机械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与宝钢、首钢、太钢、山钢等大型钢铁集团建立长协；涂料与阿克苏、PPG、贝科等全球前三供应商战略合作；下游为海尔、海信、重汽、中粮集团等行业龙头长期供应商，并服务中建、中铁、中冶等工程总包。产品应用于武汉火神山/雷神山医院、青岛胶东等机场、济南/上海等高铁站、国家速滑馆、俄罗斯冬奥会场馆、美国塞班岛度假中心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主要采购冷轧基料（与宝钢、首钢、太钢、山钢等合作）与涂料（阿克苏、PPG、贝科），供应保障稳定，并通过配套热电厂与天然气项目控制能源成本。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1,800亩，配套热电厂与天然气能源，拥有省级企业技术中心、理化检测中心（扫描电镜、X射线荧光光谱仪、盐雾试验箱等），通过ISO9001、ISO14001、ISO50001体系认证，是国家16项标准编制单位、中国驰名商标、山东省制造业单项冠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国内华东、华北、华南、西南、西北等区域设销售分公司与仓储网点，常规规格现货充足、快速响应；同步拓展海外，产品远销俄罗斯、加拿大、非洲、南美、东南亚等四十多个国家和地区，年出口量超百万吨，配套报关、商检、国际物流一站式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方行业研报显示，冠洲2024年销售额突破120亿元（同比增长14.3%），居国内民营彩钢板制造商第一；但不同口径（如彩色钢板压型细分）有约49.8亿元的统计，差异源于统计范围。公司为非上市企业，未公开审计财报，上述数据谨慎引用。镀锌板、彩涂板产能居全国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未公开(审计)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未公开(审计)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约120(第三方研报)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非上市企业审计盈利数据未公开披露。第三方研报口径2024年销售额约120亿元、同比+14.3%，反映主业规模与增长态势良好，但确切毛利率、净利率无法从公开渠道取得，不作编造。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公司占地1,800亩、配套自备热电与完整板材产线，固定资产厚重、资产质量扎实，具体结构未公开。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负债与偿债能力数据未公开披露，不作估算。重资产制造业通常负债水平适中，需以尽调为准。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经营现金流数据未公开。庞大的销售与出口规模反映主业"造血"能力较强。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在冠县镀涂钢板制品集群中，冠洲为绝对的龙头与标准制定者（16项国标编制单位），产能与品牌领先于同集群的星瀚材料、中天复合材料等。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公司为股份有限公司（非上市），设董事会（张昭任董事长兼总经理，申玉华、宋章峰、王广东、王子民、赵振国、周立府等为董事）与监事会（高东军、申洪昌、赵书河等为监事），治理相对规范。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法定代表人、董事长兼总经理张昭，核心管理层含多名董事与监事，团队稳定。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公司通过ISO9001/14001/50001体系认证，建有企业技术中心与理化检测中心，所有出厂产品附完整检测报告与质保书，内控以质量与标准为核心。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公司官网称员工2,000—3,000人规模；但2025年工商年报参保66人（口径差异，或仅报总部核心人员），实际用工规模以企业披露为准。公司注重技术与质量人才培养。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能与一体化："三板一体化"+自备热电，冷轧/镀锌/彩涂产能全国前列；二是品牌与标准话语权：中国驰名商标、山东名牌、16项国标编制单位、单项冠军；三是客户与供应链壁垒：宝钢/首钢等基料长协+阿克苏/PPG涂料合作+海尔/海信/重汽等龙头客户；四是全球渠道：出口40+国家、年出口超百万吨；五是质量体系与检测能力：省级技术中心、完整质保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钢铁与涂镀板行业受钢材价格、房地产与基建周期影响大，盈利波动明显。经营风险：出口受贸易摩擦与汇率影响；客户集中度高。合规风险：据企查查，公司存在一定数量司法案件记录，需关注合同履约。财务风险：非上市财务不透明。应对措施：公司通过产品高端化（氟碳/高耐候彩涂）、客户多元化与全球布局对冲周期，并持续强化质量与标准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为集群龙头，可探索：（1）供应链金融：上游基料采购（宝钢、首钢等）应付账款可开展保理，集团确权；（2）融资租赁：其产线升级、检测设备可匹配设备直租/回租；（3）商业保理：对海尔、海信、中建等优质应收账款保理加快周转；（4）小贷：服务其上游中小钢贸与加工配套企业。鉴于其龙头地位与出口规模，建议以供应链保理+设备融资租赁为主，风险相对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是冠县镀涂钢板制品集群的链主与标准制定者，产能、品牌、客户与全球渠道构筑深护城河，第三方口径2024年销售额约120亿元、居民营彩钢板第一。短板在于非上市财务不透明、行业周期波动。据公司规划与行业趋势，绿色建筑与高耐候彩涂需求增长支撑升级方向。建议山东投资以供应链保理与设备融资租赁切入，服务其上下游配套，共享集群龙头红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爱企查、公司官网（sdguanzhou.com）、山东省高校就业网招聘资讯、第三方行业研报（博研咨询）及公开报道。审计财务未公开，第三方销售额数据谨慎引用并标注口径差异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