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山东省博兴县商用智能厨房设备产业集群</w:t>
      </w:r>
    </w:p>
    <w:p>
      <w:pPr>
        <w:spacing w:lineRule="exact" w:line="600" w:before="240" w:after="240"/>
        <w:ind w:firstLine="0"/>
        <w:jc w:val="center"/>
      </w:pPr>
      <w:r>
        <w:rPr>
          <w:rFonts w:ascii="方正小标宋简体" w:hAnsi="方正小标宋简体" w:eastAsia="方正小标宋简体"/>
          <w:b w:val="0"/>
          <w:color w:val="000000"/>
          <w:sz w:val="44"/>
        </w:rPr>
        <w:t>山东好雪尔电器有限公司企业分析报告</w:t>
      </w:r>
    </w:p>
    <w:p>
      <w:pPr>
        <w:spacing w:lineRule="exact" w:line="600" w:before="0" w:after="0"/>
        <w:jc w:val="left"/>
      </w:pPr>
      <w:r>
        <w:rPr>
          <w:rFonts w:ascii="仿宋_GB2312" w:hAnsi="仿宋_GB2312" w:eastAsia="仿宋_GB2312"/>
          <w:b w:val="0"/>
          <w:color w:val="000000"/>
          <w:sz w:val="28"/>
        </w:rPr>
        <w:t>（本报告数据来源于公司年报/半年报、交易所及港交所公告、巨潮资讯网、东方财富、天眼查/爱企查/企查查/启信宝、国家企业信用信息公示系统、公司官网及权威媒体等公开渠道，统计时点截至最新披露信息；非上市企业未公开披露财务数据已如实标注，未作任何编造。报告供山东省投资有限公司业务参考之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好雪尔电器有限公司成立于2016年5月26日，法定代表人刘玉亮，统一社会信用代码91371625MA3CB6EW0Q，企业类型为有限责任公司（自然人投资或控股），注册资本600万元人民币（实缴300万元），注册地址位于山东省滨州市博兴县兴福镇城外李村鑫丰源路西段路北，登记机关为滨州市博兴县市场监督管理局，经营状态为存续。参保人数约25人，为小微企业。</w:t>
      </w:r>
    </w:p>
    <w:p>
      <w:pPr>
        <w:spacing w:lineRule="exact" w:line="600" w:before="0" w:after="0"/>
        <w:ind w:firstLine="420"/>
        <w:jc w:val="both"/>
      </w:pPr>
      <w:r>
        <w:rPr>
          <w:rFonts w:ascii="仿宋_GB2312" w:hAnsi="仿宋_GB2312" w:eastAsia="仿宋_GB2312"/>
          <w:b w:val="0"/>
          <w:color w:val="000000"/>
          <w:sz w:val="32"/>
        </w:rPr>
        <w:t>股权结构：刘玉亮为法定代表人、执行董事兼总经理（实际控制人），张玉霜任监事；为民营小微企业，无国有出资人。公司对外投资3家企业，属博兴商用智能厨房设备集群的中小规模配套企业。</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公司为自然人控股小微企业，设执行董事兼总经理（刘玉亮）、监事（张玉霜）；对外投资3家公司，业务涵盖制冷空调设备制造、电热食品加工设备生产、风机风扇制造与厨具批发，组织层级扁平。</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2016年5月成立于博兴县兴福镇（中国厨都）；专注商用制冷与电热食品加工设备，获高新技术企业（2025/2026）、科技型中小企业（2026）认定，拥有26个注册商标、23项专利；依托集群配套从小微企业成长为具自主研发能力的商用电器供应商。</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企业定位为商用厨房制冷与电热食品加工设备制造商。主营业务：许可项目为电热食品加工设备生产；一般项目为制冷、空调设备制造与销售，机械电气设备销售，金属制日用品制造，日用电器修理，厨具卫具及日用杂品批发，风机、风扇制造与销售，通用设备制造（不含特种设备制造），金属制品销售。</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业务以商用制冷设备（冷柜、展示柜、制冷机组）与电热食品加工设备为核心，向风机风扇、金属制品延伸，内外销并重（依托兴福镇厨具出口生态）。公司未公开披露分产品收入占比。</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主导产品：商用制冷空调设备（冷柜、冷藏/冷冻展示柜）、电热食品加工设备（电热食品加工机械）、风机风扇、金属制厨房日用品；具备电热食品加工设备生产许可。</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下游为商用厨房设备集成商、餐饮企业与海外厨具经销商；依托博兴“中国厨都”出口生态，产品随集群配套进入国内外市场。</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生产所需压缩机、不锈钢板材、电控元件、风机电机等为主要采购对象，依托兴福镇集群配套采购。</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为高新技术企业、科技型中小企业、小微企业；拥有26个注册商标、23项专利（知识产权体现研发密度）；持有电热食品加工设备生产许可，为增值税一般纳税人。具体产能未公开披露。</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以经销、配套与出口并重，官网sd-kitchenware.com承担产品展示；依托集群渠道进入国内外商用厨具供应链。</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为非上市小微企业，财务数据未公开披露，无公开营收、利润及市占率数据。从资质（高新、科技型中小企业）与专利（23项）看，其在商用制冷与电热设备细分具一定技术与区域配套地位，但规模体量较小。</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山东好雪尔为非上市小微企业，近三年财务报表未公开披露，以下仅列公开工商与资质信息，不作财务数据编造。</w:t>
      </w:r>
    </w:p>
    <w:tbl>
      <w:tblPr>
        <w:tblStyle w:val="TableGrid"/>
        <w:tblW w:type="auto" w:w="0"/>
        <w:jc w:val="center"/>
        <w:tblLook w:firstColumn="1" w:firstRow="1" w:lastColumn="0" w:lastRow="0" w:noHBand="0" w:noVBand="1" w:val="04A0"/>
      </w:tblPr>
      <w:tblGrid>
        <w:gridCol w:w="4422"/>
        <w:gridCol w:w="4422"/>
      </w:tblGrid>
      <w:tr>
        <w:tc>
          <w:tcPr>
            <w:tcW w:type="dxa" w:w="2551"/>
          </w:tcPr>
          <w:p>
            <w:pPr>
              <w:spacing w:lineRule="exact" w:line="600"/>
              <w:jc w:val="center"/>
            </w:pPr>
            <w:r/>
            <w:r>
              <w:rPr>
                <w:rFonts w:ascii="黑体" w:hAnsi="黑体" w:eastAsia="黑体"/>
                <w:b/>
                <w:color w:val="000000"/>
                <w:sz w:val="32"/>
              </w:rPr>
              <w:t>指标</w:t>
            </w:r>
          </w:p>
        </w:tc>
        <w:tc>
          <w:tcPr>
            <w:tcW w:type="dxa" w:w="6236"/>
          </w:tcPr>
          <w:p>
            <w:pPr>
              <w:spacing w:lineRule="exact" w:line="600"/>
              <w:jc w:val="center"/>
            </w:pPr>
            <w:r/>
            <w:r>
              <w:rPr>
                <w:rFonts w:ascii="黑体" w:hAnsi="黑体" w:eastAsia="黑体"/>
                <w:b/>
                <w:color w:val="000000"/>
                <w:sz w:val="32"/>
              </w:rPr>
              <w:t>公开披露值</w:t>
            </w:r>
          </w:p>
        </w:tc>
      </w:tr>
      <w:tr>
        <w:tc>
          <w:tcPr>
            <w:tcW w:type="dxa" w:w="2551"/>
          </w:tcPr>
          <w:p>
            <w:pPr>
              <w:spacing w:lineRule="exact" w:line="600"/>
              <w:jc w:val="center"/>
            </w:pPr>
            <w:r/>
            <w:r>
              <w:rPr>
                <w:rFonts w:ascii="仿宋_GB2312" w:hAnsi="仿宋_GB2312" w:eastAsia="仿宋_GB2312"/>
                <w:b w:val="0"/>
                <w:color w:val="000000"/>
                <w:sz w:val="32"/>
              </w:rPr>
              <w:t>注册资本</w:t>
            </w:r>
          </w:p>
        </w:tc>
        <w:tc>
          <w:tcPr>
            <w:tcW w:type="dxa" w:w="6236"/>
          </w:tcPr>
          <w:p>
            <w:pPr>
              <w:spacing w:lineRule="exact" w:line="600"/>
              <w:jc w:val="center"/>
            </w:pPr>
            <w:r/>
            <w:r>
              <w:rPr>
                <w:rFonts w:ascii="仿宋_GB2312" w:hAnsi="仿宋_GB2312" w:eastAsia="仿宋_GB2312"/>
                <w:b w:val="0"/>
                <w:color w:val="000000"/>
                <w:sz w:val="32"/>
              </w:rPr>
              <w:t>600万元（实缴300万元）</w:t>
            </w:r>
          </w:p>
        </w:tc>
      </w:tr>
      <w:tr>
        <w:tc>
          <w:tcPr>
            <w:tcW w:type="dxa" w:w="2551"/>
          </w:tcPr>
          <w:p>
            <w:pPr>
              <w:spacing w:lineRule="exact" w:line="600"/>
              <w:jc w:val="center"/>
            </w:pPr>
            <w:r/>
            <w:r>
              <w:rPr>
                <w:rFonts w:ascii="仿宋_GB2312" w:hAnsi="仿宋_GB2312" w:eastAsia="仿宋_GB2312"/>
                <w:b w:val="0"/>
                <w:color w:val="000000"/>
                <w:sz w:val="32"/>
              </w:rPr>
              <w:t>成立时间</w:t>
            </w:r>
          </w:p>
        </w:tc>
        <w:tc>
          <w:tcPr>
            <w:tcW w:type="dxa" w:w="6236"/>
          </w:tcPr>
          <w:p>
            <w:pPr>
              <w:spacing w:lineRule="exact" w:line="600"/>
              <w:jc w:val="center"/>
            </w:pPr>
            <w:r/>
            <w:r>
              <w:rPr>
                <w:rFonts w:ascii="仿宋_GB2312" w:hAnsi="仿宋_GB2312" w:eastAsia="仿宋_GB2312"/>
                <w:b w:val="0"/>
                <w:color w:val="000000"/>
                <w:sz w:val="32"/>
              </w:rPr>
              <w:t>2016-05-26</w:t>
            </w:r>
          </w:p>
        </w:tc>
      </w:tr>
      <w:tr>
        <w:tc>
          <w:tcPr>
            <w:tcW w:type="dxa" w:w="2551"/>
          </w:tcPr>
          <w:p>
            <w:pPr>
              <w:spacing w:lineRule="exact" w:line="600"/>
              <w:jc w:val="center"/>
            </w:pPr>
            <w:r/>
            <w:r>
              <w:rPr>
                <w:rFonts w:ascii="仿宋_GB2312" w:hAnsi="仿宋_GB2312" w:eastAsia="仿宋_GB2312"/>
                <w:b w:val="0"/>
                <w:color w:val="000000"/>
                <w:sz w:val="32"/>
              </w:rPr>
              <w:t>参保人数</w:t>
            </w:r>
          </w:p>
        </w:tc>
        <w:tc>
          <w:tcPr>
            <w:tcW w:type="dxa" w:w="6236"/>
          </w:tcPr>
          <w:p>
            <w:pPr>
              <w:spacing w:lineRule="exact" w:line="600"/>
              <w:jc w:val="center"/>
            </w:pPr>
            <w:r/>
            <w:r>
              <w:rPr>
                <w:rFonts w:ascii="仿宋_GB2312" w:hAnsi="仿宋_GB2312" w:eastAsia="仿宋_GB2312"/>
                <w:b w:val="0"/>
                <w:color w:val="000000"/>
                <w:sz w:val="32"/>
              </w:rPr>
              <w:t>约25人</w:t>
            </w:r>
          </w:p>
        </w:tc>
      </w:tr>
      <w:tr>
        <w:tc>
          <w:tcPr>
            <w:tcW w:type="dxa" w:w="2551"/>
          </w:tcPr>
          <w:p>
            <w:pPr>
              <w:spacing w:lineRule="exact" w:line="600"/>
              <w:jc w:val="center"/>
            </w:pPr>
            <w:r/>
            <w:r>
              <w:rPr>
                <w:rFonts w:ascii="仿宋_GB2312" w:hAnsi="仿宋_GB2312" w:eastAsia="仿宋_GB2312"/>
                <w:b w:val="0"/>
                <w:color w:val="000000"/>
                <w:sz w:val="32"/>
              </w:rPr>
              <w:t>企业类型</w:t>
            </w:r>
          </w:p>
        </w:tc>
        <w:tc>
          <w:tcPr>
            <w:tcW w:type="dxa" w:w="6236"/>
          </w:tcPr>
          <w:p>
            <w:pPr>
              <w:spacing w:lineRule="exact" w:line="600"/>
              <w:jc w:val="center"/>
            </w:pPr>
            <w:r/>
            <w:r>
              <w:rPr>
                <w:rFonts w:ascii="仿宋_GB2312" w:hAnsi="仿宋_GB2312" w:eastAsia="仿宋_GB2312"/>
                <w:b w:val="0"/>
                <w:color w:val="000000"/>
                <w:sz w:val="32"/>
              </w:rPr>
              <w:t>有限责任公司（自然人投资或控股）</w:t>
            </w:r>
          </w:p>
        </w:tc>
      </w:tr>
      <w:tr>
        <w:tc>
          <w:tcPr>
            <w:tcW w:type="dxa" w:w="2551"/>
          </w:tcPr>
          <w:p>
            <w:pPr>
              <w:spacing w:lineRule="exact" w:line="600"/>
              <w:jc w:val="center"/>
            </w:pPr>
            <w:r/>
            <w:r>
              <w:rPr>
                <w:rFonts w:ascii="仿宋_GB2312" w:hAnsi="仿宋_GB2312" w:eastAsia="仿宋_GB2312"/>
                <w:b w:val="0"/>
                <w:color w:val="000000"/>
                <w:sz w:val="32"/>
              </w:rPr>
              <w:t>资质</w:t>
            </w:r>
          </w:p>
        </w:tc>
        <w:tc>
          <w:tcPr>
            <w:tcW w:type="dxa" w:w="6236"/>
          </w:tcPr>
          <w:p>
            <w:pPr>
              <w:spacing w:lineRule="exact" w:line="600"/>
              <w:jc w:val="center"/>
            </w:pPr>
            <w:r/>
            <w:r>
              <w:rPr>
                <w:rFonts w:ascii="仿宋_GB2312" w:hAnsi="仿宋_GB2312" w:eastAsia="仿宋_GB2312"/>
                <w:b w:val="0"/>
                <w:color w:val="000000"/>
                <w:sz w:val="32"/>
              </w:rPr>
              <w:t>高新技术企业、科技型中小企业</w:t>
            </w:r>
          </w:p>
        </w:tc>
      </w:tr>
      <w:tr>
        <w:tc>
          <w:tcPr>
            <w:tcW w:type="dxa" w:w="2551"/>
          </w:tcPr>
          <w:p>
            <w:pPr>
              <w:spacing w:lineRule="exact" w:line="600"/>
              <w:jc w:val="center"/>
            </w:pPr>
            <w:r/>
            <w:r>
              <w:rPr>
                <w:rFonts w:ascii="仿宋_GB2312" w:hAnsi="仿宋_GB2312" w:eastAsia="仿宋_GB2312"/>
                <w:b w:val="0"/>
                <w:color w:val="000000"/>
                <w:sz w:val="32"/>
              </w:rPr>
              <w:t>营收/利润</w:t>
            </w:r>
          </w:p>
        </w:tc>
        <w:tc>
          <w:tcPr>
            <w:tcW w:type="dxa" w:w="6236"/>
          </w:tcPr>
          <w:p>
            <w:pPr>
              <w:spacing w:lineRule="exact" w:line="600"/>
              <w:jc w:val="center"/>
            </w:pPr>
            <w:r/>
            <w:r>
              <w:rPr>
                <w:rFonts w:ascii="仿宋_GB2312" w:hAnsi="仿宋_GB2312" w:eastAsia="仿宋_GB2312"/>
                <w:b w:val="0"/>
                <w:color w:val="000000"/>
                <w:sz w:val="32"/>
              </w:rPr>
              <w:t>未公开披露</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财务数据未公开披露。商用制冷与电热设备毛利受压缩机、不锈钢价格及出口汇率影响。</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无公开资产数据。小微企业资产以设备、存货与应收为主，需关注账期与周转。</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无公开负债数据。建议授信前核查征信、实控人连带及对外担保（对外投资3家）。</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无公开现金流数据。小微制造企业现金流易受原料采购与回款节奏影响。</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与集群内金佰特（龙头）、伊德欣（出口中型）相比，好雪尔规模最小、定位配套与细分制冷电热设备，差异化生存于集群生态。</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自然人控股小微企业，治理结构简易，执行董事兼总经理刘玉亮负责经营，监事张玉霜，未设董事会。</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法定代表人/执行董事兼总经理刘玉亮；监事张玉霜。决策链条短，创始人主导。</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作为小微制造企业，内控基础，须关注电热食品加工设备生产许可合规与产品质量安全。</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参保约25人，人员规模小、以技术与生产工人为主；高新技术企业资质下应具备一定研发人员（23项专利体现）。</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集群配套：位于兴福镇“中国厨都”，上下游配套与出口生态便利。二是技术与资质：高新技术企业、科技型中小企业，23项专利、26个商标，具备自主研发能力。三是产品聚焦：商用制冷与电热食品加工设备细分，可灵活配套龙头与出口。四是灵活经营：小微企业决策快，可快速响应定制化小批量订单。</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规模与抗风险能力弱：注册资本600万（实缴300万）、人员约25人，扩张受资金约束。二是原料与汇率风险：压缩机、不锈钢价格波动及出口汇率影响。三是客户与回款风险：配套与出口业务回款周期长；公开信息显示存在少量法院公告与开庭记录，需关注合同与应收管理。四是合规风险：电热食品加工设备属许可生产，须持续符合生产许可与3C/安规。五是竞争风险：商用厨具制冷细分同质化，须以技术与定制维持溢价。</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保理业务：配套与出口应收可开展保理。供应链金融：围绕核心原料采购做订单融资。融资租赁：制冷与电热产线设备升级适合直租/回租。小贷：面向临时性周转。鉴于企业规模小，建议以“小额、分散、强担保”为原则，优先绑定优质应收与设备融资租赁。</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山东好雪尔是博兴商用厨具集群中具备高新技术资质的小微配套企业，商用制冷与电热设备细分技术基础良好，但规模小、财务不透明、抗风险能力弱。发展展望：据行业趋势，商用厨房节能制冷与智能化设备需求增长，公司可依托集群稳步发展。建议：一是补充规范财务与征信资料后再行授信；二是以应收保理与设备融资租赁为切入点、控制额度；三是关注原料价格、汇率与回款风险，设置动态监测。</w:t>
      </w:r>
    </w:p>
    <w:p>
      <w:pPr>
        <w:spacing w:lineRule="exact" w:line="600" w:before="0" w:after="0"/>
        <w:jc w:val="left"/>
      </w:pPr>
      <w:r>
        <w:rPr>
          <w:rFonts w:ascii="仿宋_GB2312" w:hAnsi="仿宋_GB2312" w:eastAsia="仿宋_GB2312"/>
          <w:b w:val="0"/>
          <w:color w:val="000000"/>
          <w:sz w:val="28"/>
        </w:rPr>
        <w:t>数据来源说明：天眼查/爱企查/企查查（工商、股权、资质、专利）、公司官网sd-kitchenware.com（产品与范围）。财务数据未公开披露，已如实标注。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