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山东省威海市文登区商用车关键零部件产业集群</w:t>
      </w:r>
    </w:p>
    <w:p>
      <w:pPr>
        <w:spacing w:lineRule="exact" w:line="600" w:before="240" w:after="240"/>
        <w:ind w:firstLine="0"/>
        <w:jc w:val="center"/>
      </w:pPr>
      <w:r>
        <w:rPr>
          <w:rFonts w:ascii="方正小标宋简体" w:hAnsi="方正小标宋简体" w:eastAsia="方正小标宋简体"/>
          <w:b w:val="0"/>
          <w:color w:val="000000"/>
          <w:sz w:val="44"/>
        </w:rPr>
        <w:t>文登市双力板簧有限公司企业分析报告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文登市双力板簧有限公司（曾用名：山东省文登市双力板簧有限公司、山东省文登市双力板簧（集团）有限公司）成立于1997年11月12日，法定代表人为周建勇，统一社会信用代码91371081267130410B，企业类型为有限责任公司，注册资本1,986.3万元（实缴资本约1,010.61万元，2025年年报口径），注册地址位于山东省威海市文登区高村镇兴高路10号，登记机关为威海市文登区市场监督管理局，经营状态为存续（开业），营业期限自1997年11月12日至无固定期限，为增值税一般纳税人。</w:t>
      </w:r>
    </w:p>
    <w:p>
      <w:pPr>
        <w:spacing w:lineRule="exact" w:line="600" w:before="0" w:after="0"/>
        <w:ind w:firstLine="420"/>
        <w:jc w:val="both"/>
      </w:pPr>
      <w:r>
        <w:rPr>
          <w:rFonts w:ascii="仿宋_GB2312" w:hAnsi="仿宋_GB2312" w:eastAsia="仿宋_GB2312"/>
          <w:b w:val="0"/>
          <w:color w:val="000000"/>
          <w:sz w:val="32"/>
        </w:rPr>
        <w:t>股权结构：公司现有自然人及职工持股平台股东13名，其中周建勇持股约50.8790%、山东省文登市双力板簧有限公司工会委员会持股约22.8712%、职工持股会持股约11.3276%、周晓军持股约9.0621%，其余为小比例自然人股东。实际控制人为周建勇，属典型民营控股企业，无国有出资人。公司对外投资9家企业，拥有1处分支机构。</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集研发、生产、销售于一体的板簧专业制造企业，下设生产、技术、质量、销售及外贸业务单元，并建有汽车板簧研究所与省级汽车板簧检测中心。经营范围涵盖平板弹簧、汽车钢板弹簧及农机具制造、铸铁件、炼钢及轧制钢材、废旧黑色金属收购、精铸件、汽车零部件及橡胶制品购销、普通货运、大理石板材加工销售、货物进出口及房产销售等。</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1997年设立，长期深耕汽车钢板弹簧领域；2005年取得ISO/TS16949国际质量管理体系认证，2017年换版为IATF16949:2016；2008年企业技术中心被确认为威海市企业技术开发中心，2014年被山东省经济和信息化委员会认定为山东省认定企业技术中心；2023年获评高新技术企业，并先后取得科技型中小企业（2026）、专精特新“小巨人”企业、专精特新中小企业、创新型中小企业、小微企业、A级纳税人（2025）等资质，累计取得40余项国家专利及6项软件著作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中国汽车钢板弹簧重要生产基地、文登商用车关键零部件产业集群支撑企业。主营业务为汽车钢板弹簧、平板弹簧、农机具及相关零部件的研发、制造与销售，产品广泛应用于微卡、轻卡、中卡及商用车悬架系统，是中国汽车钢板弹簧行业综合实力位居全国同行业前列（约第8位）的骨干企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汽车钢板弹簧为核心，辅以平板弹簧、精铸件及大理石板材加工，并开展进出口贸易。据公司官网披露，公司年销售收入约3亿元，总资产约1.5亿元，职工近400人，工程技术人员80余人，具备年产微卡、轻卡、中卡等汽车板簧5万吨的生产能力，是中国汽车钢板弹簧的重要生产基地。分产品收入占比未公开披露。</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为各型汽车钢板弹簧（含微卡、轻卡、中卡悬架板簧）、平板弹簧、精铸件及配套零部件；产品获“省名牌产品”称号，“双力”品牌获省著名商标。公司具备从原材料入厂到产成品出厂的全过程检验能力，建有性能测试室、金相室、探伤室、光谱室及疲劳实验室等完整汽车板簧检测体系。</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主要供应北汽福田、东安黑豹、时风集团、中国重汽等国内主机厂，并散件出口越南、伊朗等国家，随整车出口至印度、俄罗斯、土耳其、哥伦比亚等40多个国家和地区。公司连续多年被北汽福田、中航黑豹、时风集团等用户授予“优秀供应商”及“产品质量优胜单位”。</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生产所需主要原材料为弹簧钢（钢坯）及合金材料，价格受钢铁行业行情波动影响；公司具备炼钢及轧制钢材能力，可部分向上游延伸以稳定原料供应与成本。</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面积约13万平方米、建筑面积约7万平方米，年板簧产能5万吨，总资产约1.5亿元；拥有省级汽车板簧检测中心、山东省认定企业技术中心，通过IATF16949:2016、ISO9001等体系认证，累计专利44项、软件著作权6项，具备钢板弹簧全流程研发与制造能力。</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以主机厂配套直销为主，辅以工程经销商与外贸出口渠道；通过自营进出口资质开展海外业务，并依托北汽福田、中国重汽等头部客户的供应链体系稳定配套供货。</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近三年完整财务数据未公开披露。公开资料显示年销售收入约3亿元、总资产约1.5亿元、板簧年产能5万吨，综合实力居全国同行业第8位左右，在山东及北方商用车板簧配套市场具有稳定地位，但规模体量在行业中属中型。</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文登市双力板簧有限公司为非上市民营企业，近三年财务报表未公开披露，以下仅列公开工商与官网披露信息，不作任何财务数据编造。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1,986.3万元（实缴约1,010.61万元）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1997-11-12</w:t>
            </w:r>
          </w:p>
        </w:tc>
      </w:tr>
      <w:tr>
        <w:tc>
          <w:tcPr>
            <w:tcW w:type="dxa" w:w="2551"/>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约142人（2025年报）</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有限责任公司（民营控股）</w:t>
            </w:r>
          </w:p>
        </w:tc>
      </w:tr>
      <w:tr>
        <w:tc>
          <w:tcPr>
            <w:tcW w:type="dxa" w:w="2551"/>
          </w:tcPr>
          <w:p>
            <w:pPr>
              <w:spacing w:lineRule="exact" w:line="600"/>
              <w:jc w:val="center"/>
            </w:pPr>
            <w:r/>
            <w:r>
              <w:rPr>
                <w:rFonts w:ascii="仿宋_GB2312" w:hAnsi="仿宋_GB2312" w:eastAsia="仿宋_GB2312"/>
                <w:b w:val="0"/>
                <w:color w:val="000000"/>
                <w:sz w:val="32"/>
              </w:rPr>
              <w:t>年销售收入</w:t>
            </w:r>
          </w:p>
        </w:tc>
        <w:tc>
          <w:tcPr>
            <w:tcW w:type="dxa" w:w="6236"/>
          </w:tcPr>
          <w:p>
            <w:pPr>
              <w:spacing w:lineRule="exact" w:line="600"/>
              <w:jc w:val="center"/>
            </w:pPr>
            <w:r/>
            <w:r>
              <w:rPr>
                <w:rFonts w:ascii="仿宋_GB2312" w:hAnsi="仿宋_GB2312" w:eastAsia="仿宋_GB2312"/>
                <w:b w:val="0"/>
                <w:color w:val="000000"/>
                <w:sz w:val="32"/>
              </w:rPr>
              <w:t>约3亿元（官网披露）</w:t>
            </w:r>
          </w:p>
        </w:tc>
      </w:tr>
      <w:tr>
        <w:tc>
          <w:tcPr>
            <w:tcW w:type="dxa" w:w="2551"/>
          </w:tcPr>
          <w:p>
            <w:pPr>
              <w:spacing w:lineRule="exact" w:line="600"/>
              <w:jc w:val="center"/>
            </w:pPr>
            <w:r/>
            <w:r>
              <w:rPr>
                <w:rFonts w:ascii="仿宋_GB2312" w:hAnsi="仿宋_GB2312" w:eastAsia="仿宋_GB2312"/>
                <w:b w:val="0"/>
                <w:color w:val="000000"/>
                <w:sz w:val="32"/>
              </w:rPr>
              <w:t>总资产</w:t>
            </w:r>
          </w:p>
        </w:tc>
        <w:tc>
          <w:tcPr>
            <w:tcW w:type="dxa" w:w="6236"/>
          </w:tcPr>
          <w:p>
            <w:pPr>
              <w:spacing w:lineRule="exact" w:line="600"/>
              <w:jc w:val="center"/>
            </w:pPr>
            <w:r/>
            <w:r>
              <w:rPr>
                <w:rFonts w:ascii="仿宋_GB2312" w:hAnsi="仿宋_GB2312" w:eastAsia="仿宋_GB2312"/>
                <w:b w:val="0"/>
                <w:color w:val="000000"/>
                <w:sz w:val="32"/>
              </w:rPr>
              <w:t>约1.5亿元（官网披露）</w:t>
            </w:r>
          </w:p>
        </w:tc>
      </w:tr>
      <w:tr>
        <w:tc>
          <w:tcPr>
            <w:tcW w:type="dxa" w:w="2551"/>
          </w:tcPr>
          <w:p>
            <w:pPr>
              <w:spacing w:lineRule="exact" w:line="600"/>
              <w:jc w:val="center"/>
            </w:pPr>
            <w:r/>
            <w:r>
              <w:rPr>
                <w:rFonts w:ascii="仿宋_GB2312" w:hAnsi="仿宋_GB2312" w:eastAsia="仿宋_GB2312"/>
                <w:b w:val="0"/>
                <w:color w:val="000000"/>
                <w:sz w:val="32"/>
              </w:rPr>
              <w:t>板簧年产能</w:t>
            </w:r>
          </w:p>
        </w:tc>
        <w:tc>
          <w:tcPr>
            <w:tcW w:type="dxa" w:w="6236"/>
          </w:tcPr>
          <w:p>
            <w:pPr>
              <w:spacing w:lineRule="exact" w:line="600"/>
              <w:jc w:val="center"/>
            </w:pPr>
            <w:r/>
            <w:r>
              <w:rPr>
                <w:rFonts w:ascii="仿宋_GB2312" w:hAnsi="仿宋_GB2312" w:eastAsia="仿宋_GB2312"/>
                <w:b w:val="0"/>
                <w:color w:val="000000"/>
                <w:sz w:val="32"/>
              </w:rPr>
              <w:t>约5万吨</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财务数据未公开披露。钢板弹簧行业价格受钢材成本与主机厂年降压力影响，毛利率通常处于中游水平；公司凭借规模与配套资质维持稳健经营。</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据官网披露总资产约1.5亿元，以生产设备、厂房及营运资本为主，重资产属性与板簧制造匹配。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无公开负债数据。建议授信前核查企业征信、实控人连带及对外担保情况。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无公开现金流数据。配套业务回款周期受主机厂账期影响，需关注经营性现金流。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与全国板簧龙头企业相比，双力板簧规模（年销售约3亿元、产能5万吨）处于区域中型梯队；但在山东半岛及北方商用车配套市场具备客户积累与检测/技术中心资质优势。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公司为自然人控股的有限责任公司，设执行董事/经理（周建勇）及监事，治理相对简明，未建立董事会；重大事项由实控人及核心股东决策。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法定代表人、执行董事兼经理周建勇持股约50.88%，为实控人；管理层以创始人主导，决策链条短。</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通过IATF16949/ISO9001体系认证，建有省级检测中心与技术中心，质量内控较规范；作为机械加工企业需持续关注安全生产与环保合规。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官网披露职工近400人、工程技术人员80余人；2025年年报参保约142人（统计口径差异）。人员以生产与技术人员为主，具备一定研发密度（44项专利）。</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客户与配套壁垒：长期配套北汽福田、中国重汽等头部主机厂，进入其供应链体系并形成稳定合作。二是检测与技术中心：拥有省级汽车板簧检测中心、山东省认定企业技术中心及44项专利，研发与质量保障能力突出。三是规模与区域地位：年产能5万吨、全国同行业约第8，在北方商用车板簧配套市场具备规模经济。四是资质与品牌：“双力”省著名商标、省名牌产品、IATF16949认证构成准入与品牌壁垒。五是产业链延伸：具备炼钢轧钢能力，可部分平抑原料波动。</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集中与年降风险：收入依赖少数主机厂，面临年降与订单波动压力；应对为拓展出口与售后市场。二是原料价格风险：弹簧钢价格随钢铁行情波动，挤压毛利；应对为向上游炼轧延伸与集采。三是安全环保风险：涉及炼钢、热处理等工序，环保与安全生产合规压力较大。四是法律与合规风险：公开信息显示公司曾涉及2次行政处罚、10件立案信息及若干劳动争议/买卖合同涉诉，需强化合同与应收账款管理。五是规模与抗周期风险：中型民营企业抗周期能力有限，扩张受资金约束。</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北汽福田、中国重汽等主机厂的应收账款账期较长，可开展保理融资盘活资金。供应链金融：围绕核心主机厂为其配套链属企业提供订单融资、票据贴现。融资租赁：炼钢轧制、板簧生产线设备升级适合以设备直租/回租盘活固定资产。小贷：面向临时性周转提供短贷。鉴于企业规模中等、财务透明度有限，建议以“主机厂应收保理+设备融资租赁”组合切入，绑定优质应收账款并设置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文登市双力板簧是文登商用车关键零部件产业集群的板簧配套骨干企业，客户优质、检测与技术中心资质完备、规模居区域前列，但财务透明度低、客户集中、存在一定涉诉与合规风险。发展展望：据行业趋势，商用车新能源化与轻量化推动板簧向高性能、少片化升级，公司可依托技术中心与配套资质稳步发展。建议：一是对接主机厂应收保理与设备融资租赁，控制额度并设增信；二是要求补充规范财务资料后再放大授信；三是关注钢材价格与回款风险，建立动态信用监测。</w:t>
      </w:r>
    </w:p>
    <w:p>
      <w:pPr>
        <w:spacing w:lineRule="exact" w:line="600" w:before="0" w:after="0"/>
        <w:jc w:val="left"/>
      </w:pPr>
      <w:r>
        <w:rPr>
          <w:rFonts w:ascii="仿宋_GB2312" w:hAnsi="仿宋_GB2312" w:eastAsia="仿宋_GB2312"/>
          <w:b w:val="0"/>
          <w:color w:val="000000"/>
          <w:sz w:val="28"/>
        </w:rPr>
        <w:t>数据来源说明：天眼查/爱企查/企查查（工商、股权、资质、专利）、公司官网 slbh.chinaepu.com（产能、资产、客户、认证）、文登区政府及行业公开资料。财务数据未公开披露，已如实标注。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