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山东省威海市环翠区碳纤维产业集群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威海拓展纤维有限公司企业分析报告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拓展纤维有限公司成立于2002年4月23日，法定代表人丛宗杰，统一社会信用代码91371000739265146J，企业类型为有限责任公司（自然人投资或控股的法人独资），注册资本100,000万元，注册地址位于山东省威海临港经济技术开发区开元西路6号，登记机关为威海临港经济技术开发区市场监督管理局，经营状态为存续。人员规模500—999人，参保约964人，属中型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股权结构：威海光威复合材料股份有限公司（300699.SZ）持股100%，为光威复材全资子公司，实际控制人为光威集团及一致行动人。属民营控股上市体系内企业（非国有）。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光威复材核心子公司，下设威海拓展纤维有限公司内蒙古分公司（包头项目）、山东光威碳纤维产业技术研究院有限公司（参股）等；经营范围涵盖高性能纤维及复合材料制造销售、石墨及碳素制品、合成纤维、专用化学产品（不含危险化学品）及新材料技术研发、货物与技术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2002年成立，是我国第一家专门从事碳纤维及其制品研发与生产的民营企业；在国产碳纤维“产品、装备、技术”三重封锁下，历经上千次工艺验证实现原丝自主产出，现已实现T1100等7个级别高性能碳纤维工程化量产；2026年党支部获评全国先进基层党组织；获评国家级制造业单项冠军企业、高新技术企业、专精特新“小巨人”企业、隐形冠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光威复材碳纤维原丝及丝束核心制造平台、国产碳纤维主力供应商。主营业务为高性能碳纤维（原丝—碳纤维）及复合材料系列产品、石墨及碳素制品、合成纤维的研发、生产与销售，是光威复材“原丝—碳纤维—织物—预浸料—制品”全产业链的上游核心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碳纤维原丝及碳纤维丝束制造为核心，向下游织物、预浸料、复合材料制品延伸；作为光威复材碳纤维板块（拓展纤维板块含内蒙古包头项目）的制造主体，收入并入母公司合并报表。公司未公开披露单体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主导产品为各型高性能碳纤维原丝及碳纤维丝束（T300—T1100等多级别工程化量产），配套光威复材全系列复合材料；具备原丝—碳纤维一体化能力。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客户主要为光威复材体内下游板块（织物、预浸料、碳梁、复合材料制品）及航空航天、风电、新能源等终端客户；作为军工配套主力，客户认证门槛高、粘性强。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生产所需丙烯腈等原丝原料、能源及设备为主要投入；公司具备原丝自主能力，关键环节可控，原料对外依赖度较低。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山东光威碳纤维产业技术研究院等创新平台，牵头参与产业链党委建设，统筹院士工作站、博士后科研工作站及8个省级以上创新平台；累计承担国家863计划等80余项国家级、省市级重大科研攻关项目，党员团队牵头申请授权专利160项；具备危险化学品生产许可（曾列入经营范围，2025年8月经营范围变更后不再含危险化学品生产）。内蒙古包头项目持续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以体内配套与直销对接高端客户为主，依托光威复材一体化渠道服务航空航天、风电、新能源等领域。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光威复材全资子公司，单体财务报表未单独公开，收入并入母公司合并口径（2024年碳纤维及织物板块收入14.52亿元，其中拓展纤维板块为主）。公司在国内碳纤维原丝及丝束领域地位突出，T300—T1100多级别量产，细分市场占有率领先（具体未单独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威海拓展纤维为光威复材（300699.SZ）全资子公司，单体近三年完整财务报表未单独公开；下表列示母公司光威复材合并口径近三年主要数据（含拓展纤维等子公司），单位：亿元，供参照。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营业收入(合并)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25.18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24.50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28.60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归母净利润(合并)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8.73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7.41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6.03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销售毛利率(合并)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约48.7%(推算)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45.55%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—(未单独披露)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资产负债率(合并)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约21.6%(推算)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31.95%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—(未单独披露)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经营现金流净额(合并)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8.63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注册资本(单体)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10.00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10.00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10.00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盈利未单独披露；作为光威复材碳纤维板块核心，2024年拓展纤维板块（含包头项目）碳纤维及织物收入14.52亿元（同比-12.91%），受行业供需失衡、工业用碳纤维降价及装备用碳纤维需求节奏影响短期承压，但T800级产品收入同比+64.64%，装备用T700/T800级放量有效弥补部分下滑。合并口径毛利率约45%，盈利质量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无单体资产数据。作为碳纤维重资产制造平台，固定资产（原丝/碳化产线、包头项目）占比高，与扩产属性匹配。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无单体负债数据。母公司合并资产负债率约32%，财务稳健；扩产带来资本开支，需关注负债边际变化。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无单体现金流数据。母公司合并经营现金流2024年8.63亿元，盈利质量高，但投资现金流净流出（扩产）较大。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与中复神鹰、中简科技等原丝/碳纤维企业相比，拓展纤维背靠光威复材全产业链，原丝—碳纤维一体化优势明显，军品配套地位稳固，但同样受行业价格下行影响。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作为上市体系内全资子公司，设董事（丛宗杰）及职能管理部门；落实党建与“三重一大”要求，党支部获评全国先进基层党组织（2026），党建引领核心技术攻关。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法定代表人/董事长丛宗杰（全国先进基层党组织代表）；管理层由光威复材派驻，核心团队具碳纤维产业化背景。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建立覆盖研发、生产、安全的完整内控体系，通过国家企业技术中心等平台强化技术内控；军工配套涉及保密与质量合规，要求高。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参保约964人（人员规模500—999人），党员团队牵头技术攻关，培养骨干人才500余名，研发与产业人才储备雄厚。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丝—碳纤维一体化壁垒：我国第一家民营碳纤维专业企业，T300—T1100等7个级别工程化量产，原丝自主可控。二是技术与平台：承担80余项国家级攻关，授权专利160项，统筹8个省级以上创新平台。三是客户壁垒：航空航天军工主力供应商，认证周期长、切换成本高。四是党建与品牌：全国先进基层党组织、国家级制造业单项冠军、专精特新“小巨人”、隐形冠军等多重背书。五是集团协同：依托光威复材全产业链与资本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产能与价格风险（重点）：碳纤维产能过剩、价格下行，2024年板块收入承压；应对为提升高附加值装备用产品占比。二是需求节奏风险：装备用碳纤维个别场景需求波动。三是扩产与资金风险：包头项目资本开支大，自由现金流承压。四是安全与合规风险：曾含危险化学品生产，安全生产须持续投入（2025年经营范围已调整）。五是技术迭代风险：更高端碳纤维技术壁垒需持续攻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下游军品与风电客户形成较大应收，可开展应收账款保理。供应链金融：围绕核心企业为其原丝/设备供应商提供订单与存货融资。融资租赁：包头等扩产项目设备投资巨大，适合设备直租/回租，山东投资可重点对接。小贷：面向上下游中小配套企业短期周转。拓展纤维背靠上市母公司、资质优良、技术壁垒突出，是优质战略客户，但须关注行业价格下行与扩产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拓展纤维是光威复材碳纤维原丝及丝束核心平台、国产碳纤维主力供应商，原丝自主、技术领先、资质完备、党建突出，但受行业产能过剩价格下行影响短期盈利承压、扩产资金占用上升。发展展望：据公司规划与行业趋势，航空航天、风电、储氢、低空经济对高性能碳纤维需求增长，包头等项目达产后成长空间明确。建议：一是对接扩产项目设备融资租赁与核心客户应收保理；二是关注碳纤维价格走势与产能释放节奏；三是授信前评估合并负债边际变化与现金流，设置增信与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光威复材2023、2024年年报及2025年业绩快报、巨潮资讯网、东方财富、证券日报（拓展纤维党支部全国先进基层党组织）、天眼查/爱企查（工商股权、资质）、清科私募通/企查查（子公司与分支机构）。单体财务未单独披露，已说明并采用母公司合并口径参照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