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山东省广饶县橡胶轮胎产业集群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山东金宇轮胎有限公司企业分析报告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中国橡胶杂志社榜单、天眼查/爱企查/企查查、公司官网及权威媒体（人民网、大众日报、蓬莱政府网、临朐政府网、搜狐财经、新浪财经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宇轮胎有限公司成立于2000年12月1日，法定代表人吴百杰，统一社会信用代码91370523726207182D，企业类型为其他有限责任公司，注册资本80,000万元（实缴80,000万元），注册地址位于山东省东营市广饶县大王镇青垦路260号，登记机关为广饶县市场监督管理局，经营状态为在营（开业），营业期限无固定期限。曾用名“山东金玉轮胎有限公司”。2025年工商年报显示参保人数约2,294人，人员规模2,000—2,999人，为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山东金宇橡胶科技有限公司持股46.00%、卓越金宇控股有限公司持股23.0035%、青岛建信投资有限公司持股22.50%、青岛吉米国际贸易发展有限公司持股8.4965%；疑似实际控制人为延万华（穿透持股约52.39%）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兼总经理吴百杰、董事王春花、常咸旭及监事延强等治理岗位；以金宇轮胎集团为母体，形成“大王工厂+越南工厂+青岛研发大楼+香港/欧洲/美国销售中心”的全球化架构，旗下品牌包括金宇、黑狮、金路、玉祺麟、盛凯、万宝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宇轮胎集团始建于1995年，长期深耕轮胎制造；2000年设立有限公司主体。公司先后通过CCC、ISO9001、IATF16949、美国DOT、欧洲ECE、巴西INMETRO、中东GCC等认证，实验室获CNAS国家认可；获“中国驰名商标”“山东名牌”“国家级守合同重信用企业”“中国石油和化工出口前百家”“省橡胶行业50强”等荣誉。2024年越南PCR（半钢）项目全线贯通；2025年获评国家级高新技术企业、省级智能工厂、省级企业技术中心，并入选山东省重点用能行业能效“领跑者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的汽车轮胎研发制造企业，销售网络遍及亚、欧、美、非等一百多个国家和地区。主营业务为轮胎制造与销售、橡胶制品制造销售、汽车零部件研发、新材料技术推广及进出口业务；核心产品为卡客车轮胎（全钢子午胎）与乘用车轮胎（半钢子午胎），并延伸至黑狮、金路等品牌矩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轮胎制造为主，形成“全钢载重子午胎+半钢乘用车胎+出口贸易”结构。据中国橡胶杂志社榜单，公司2023年、2024年销售收入分别为46.63亿元、49.56亿元（境内榜第17位），同比增长约6.3%。全钢载重子午胎年产能340万套，2024年新增100万条绿色高性能全钢胎产能建设中；越南基地TBR（全钢）200万条/年已投产，PCR（半钢）1,000万条/年项目一期300万条已启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全钢载重子午胎（金宇、黑狮等品牌）、半钢乘用车轮胎及工程胎；具备从配方研发、结构设计到测试的全过程开发能力，投资上亿元建技术研发中心，与青岛科技大学共建山东省博士后创新实践基地，与山东大学、比利时贝卡尔特等开展技术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销售网络覆盖亚、欧、美、非等一百多个国家，服务全球6,000余家零售商；越南工厂、香港及欧/美销售中心支撑本地化交付，客户以海外经销商与国内替换市场为主。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生产所需主要原料为天然橡胶、合成橡胶、炭黑、钢丝帘线、橡胶助剂等，原料价格受国际油价与大宗商品行情影响；公司通过绿色工厂创建与节能降耗控制成本。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国内全钢载重子午胎产能340万套/年，2024年新增100万条绿色高性能全钢胎产能建设中；越南TBR 200万条/年已投产、PCR 1,000万条/年一期300万条启动。持有CCC、DOT、ECE、INMETRO、GCC、CNAS实验室认可等资质；2025年国家级高新技术企业、省级智能工厂、省级企业技术中心、山东省能效“领跑者”。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以“大王工厂+越南工厂”双基地为支撑，依托香港、欧洲、美国销售中心与全球6,000余家零售商构建渠道；2025年完成境外投资项目备案，持续拓展国际市场，并入选山东省出口品牌企业名单。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中国橡胶杂志社《2025年度中国境内轮胎企业排行榜》，2024年销售收入49.56亿元（境内第17位），2023年46.63亿元。海外越南基地产能释放与出口品牌政策支持，推动国际份额提升。注：公司为非上市民营企业，完整财务报表未公开披露，上述销售收入为行业榜单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山东金宇轮胎为非上市民营企业，近三年完整财务报表未公开披露；下表列示公开可获取数据，单位：亿元，不作编造。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8.00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8.00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实缴8.00亿元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销售收入（榜单口径）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46.63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49.56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中国橡胶杂志社境内榜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境内排名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第17位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第17位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全钢胎产能（万套/年）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340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340+100(在建)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大王工厂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越南TBR产能（万条/年）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200(已投产)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海外基地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非上市未披露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公开榜单显示销售收入由2023年46.63亿元增至2024年49.56亿元（同比约+6.3%），增长稳健；轮胎行业毛利率受原料价格、海运费与汇率影响波动，公司未公开披露毛利率与净利润。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无公开资产明细。重资产属性下固定资产（产线、厂房）占比较高，越南基地投产加重资产投入。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无公开负债数据。越南PCR 1,000万条/年项目资本开支大，预计依赖股东出资与银行融资，需关注杠杆与偿债能力。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无公开现金流数据。工程与出口业务回款周期较长，需关注经营性现金流与应收管理。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与同处广饶的华盛橡胶（2024年82.43亿元）、赛轮（东营）相比，金宇轮胎（49.56亿元）规模居中，但全钢胎技术积淀深厚、海外越南基地先发布局，盈利与成长确定性较好。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公司为其他有限责任公司，设董事长兼总经理吴百杰及董事、监事；作为金宇轮胎集团核心企业，集团层面统筹研发、生产与全球销售。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法定代表人、董事长兼总经理吴百杰；董事王春花、常咸旭，监事延强。管理团队以创始/核心股东安排为主，利益绑定紧密。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通过IATF16949、ISO9001及CNAS实验室认可，建立全过程开发体系；2025年省级智能工厂与企业技术中心强化数字化与质量内控；作为化工企业须关注环保与安全合规。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2025年工商年报参保约2,294人，集团官网披露员工6,000余人；与青岛科技大学等共建博士后实践基地，研发人员支撑高新技术企业与技术中心资质。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钢胎技术积淀：始建于1995年，全钢载重子午胎340万套/年产能，技术中心省级认定、CNAS国家级实验室，产品性能领先。二是品牌与渠道：金宇、黑狮等品牌+全球6,000余家零售商+欧/美/港销售中心，海外渠道壁垒稳固。三是海外先发布局：越南TBR已投产、PCR一期启动，有效规避贸易壁垒、贴近国际市场。四是资质与绿色制造：国家级高新技术企业、省级智能工厂、省级企业技术中心、能效“领跑者”、绿色工厂，政策与品牌壁垒兼具。五是产学研：与青岛科技大学共建博士后基地、与山东大学及贝卡尔特合作，创新持续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与价格波动风险：橡胶、炭黑、钢丝帘线受大宗行情波动，挤压毛利；应对为节能降耗与集采管理。二是国际贸易与双反风险：我国轮胎出口面临多国反倾销反补贴，越南基地部分规避但仍需关注政策变化。三是扩产与资金风险：越南PCR 1,000万条/年项目资本开支大，存在投产节奏与市场需求错配风险。四是法律与合规风险：公开信息显示企业存在一定司法/开庭记录，需强化合同与应收账款管理。五是安全环保风险：轮胎制造涉及环保排放与职业健康，须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海外经销商及国内客户的应收账款、票据可开展保理，缓解回款周期压力。供应链金融：围绕核心企业为其原料供应商、经销商提供订单融资、存货质押。融资租赁：越南基地及国内新增100万条全钢胎产线设备投资适合直租/回租，盘活固定资产。小贷：面向中小配套供应商短期周转。金宇轮胎资质优良、海外布局清晰，是稳健型重点客户，建议以“海外基地设备融资租赁+出口应收保理”组合切入，并关注扩产资金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金宇轮胎是广饶橡胶轮胎产业集群稳健发展的民营龙头，全钢胎技术积淀深、海外越南基地先发布局、资质与绿色制造完备，但非上市财务透明度有限、处扩产投入期。发展展望：据行业趋势与公司规划，越南PCR项目达产后将显著提升半钢胎产能与国际份额，向百亿级营收迈进。建议：一是对接越南基地及新增产线设备融资租赁；二是以出口应收保理切入，控制额度并设增信；三是要求补充规范财务报表后再放大授信；四是关注贸易壁垒、原料价格与回款风险，建立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数据来源说明：天眼查/爱企查/企查查（工商、股权、参保、资质）、公司官网 jinyutyres.com（产能、品牌、全球布局）、中国橡胶杂志社《2025年度中国境内轮胎企业排行榜》、同花顺/公开报道（广饶轮胎企业盘点、越南工厂进展）、山东省出口品牌企业名单。单体公司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