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山东省惠民县绳网产业集群</w:t>
      </w:r>
    </w:p>
    <w:p>
      <w:pPr>
        <w:spacing w:lineRule="exact" w:line="600" w:before="240" w:after="240"/>
        <w:ind w:firstLine="0"/>
        <w:jc w:val="center"/>
      </w:pPr>
      <w:r>
        <w:rPr>
          <w:rFonts w:ascii="方正小标宋简体" w:hAnsi="方正小标宋简体" w:eastAsia="方正小标宋简体"/>
          <w:b w:val="0"/>
          <w:color w:val="000000"/>
          <w:sz w:val="44"/>
        </w:rPr>
        <w:t>山东滨州恒迈尼龙化纤有限公司企业分析报告</w:t>
      </w:r>
    </w:p>
    <w:p>
      <w:pPr>
        <w:spacing w:lineRule="exact" w:line="600" w:before="0" w:after="0"/>
        <w:jc w:val="left"/>
      </w:pPr>
      <w:r>
        <w:rPr>
          <w:rFonts w:ascii="仿宋_GB2312" w:hAnsi="仿宋_GB2312" w:eastAsia="仿宋_GB2312"/>
          <w:b w:val="0"/>
          <w:color w:val="000000"/>
          <w:sz w:val="28"/>
        </w:rPr>
        <w:t>（本报告数据来源于公司年报/官网、天眼查/爱企查/企查查、国家企业信用信息公示系统、权威媒体（大众日报、新华网、齐鲁晚报、烟台广播电视台等）及公开招投标/项目信息，统计时点截至最新披露信息；非上市企业未公开披露财务数据已如实标注，未作任何编造。报告供山东省投资有限公司业务参考之用。）</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滨州恒迈尼龙化纤有限公司（工商登记全称"山东滨州恒迈尼龙化纤制品有限公司"）始建于1996年，于2001年7月11日完成公司制登记，法定代表人邢大选，统一社会信用代码9137160086305467XG，企业类型为有限责任公司（自然人投资或控股），注册资本2,088万元人民币（历史注册资本1,088万元，后增至2,088万元），注册地址位于山东省滨州市惠民县李庄镇工业园，登记机关为滨州市惠民县市场监督管理局，经营状态为存续（无固定期限）。参保人数约9人（口径差异，官网显示职工218人、技术人员98人）。</w:t>
      </w:r>
    </w:p>
    <w:p>
      <w:pPr>
        <w:spacing w:lineRule="exact" w:line="600" w:before="0" w:after="0"/>
        <w:ind w:firstLine="420"/>
        <w:jc w:val="both"/>
      </w:pPr>
      <w:r>
        <w:rPr>
          <w:rFonts w:ascii="仿宋_GB2312" w:hAnsi="仿宋_GB2312" w:eastAsia="仿宋_GB2312"/>
          <w:b w:val="0"/>
          <w:color w:val="000000"/>
          <w:sz w:val="32"/>
        </w:rPr>
        <w:t>股权结构：邢大选持股约68.01%（控股股东、实际控制人），李成梅持股约31.99%，为民营自然人控股企业，无国有出资人。公司为国家特种劳动防护用品定点生产企业。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公司为自然人控股的有限责任公司，设执行董事（邢大选）与监事（李成梅）；下辖生产、销售、外贸职能；对外投资山东惠民农村商业银行股份有限公司（持股约1%）。组织层级扁平。</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公司始建于1996年，2001年7月完成公司制登记；2001年被指定为国家特种劳动防护用品定点生产企业，2002年通过GB/T19001-2000 idt ISO9001质量管理体系认证；2007年获进出口货物权，2008年度荣获"山东省名牌"产品；持续深耕安全网、绳网及化纤原料加工，成长为惠民绳网集群骨干企业之一。</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企业定位为绳网产品研发生产商，惠民县绳网产业集群骨干企业。主营业务为安全网、安全带、封车网、密目网、绳网、防尘网、施工线、棉线、丙纶线、化纤原料的加工销售，以及麻线、麻绳、纸管、纸箱、编织袋、塑料制品、塑料颗粒的生产销售和备案范围内进出口业务。</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业务以安全网/绳网制品为核心，向上游延伸至丙纶高强丝、工程纤维等化纤原料加工，形成"化纤原料—绳网制品"一体化结构；收入以绳网销售为主、化纤原料为辅。公司未公开披露分产品收入占比。</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主导产品：建筑安全网、密目式安全立网、安全带、安全绳网、防尘网、遮阳网、养殖网、帐篷网、工程纤维、封车网、高强丝及网布，以及各种规格绳网制品；具备丙纶高强丝流水生产线、工程纤维生产线等上游原料能力。</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产品畅销北京、上海、天津、重庆、济南、昆明、成都、南宁、乌鲁木齐、西安、南京、青岛、潍坊等全国各大中城市，并出口韩国、日本、俄罗斯等国家和地区；客户以建筑、工程、安全防护及海外经销商为主。</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生产所需塑料颗粒、丙纶/聚乙烯等化纤原料为主要采购对象，公司自备丙纶高强丝产线可实现部分原料自制，降低外购依赖。</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占地面积45,360平方米（约68亩），职工218人（技术人员98人）；拥有国内先进丙纶高强丝流水线3套、工程纤维生产线2台（套）、捻线机10台、合绳机8台、平网织网机5套、密目网织网机20台、拉丝机7台、织网机20台、织带机3台；为国家特种劳动防护用品定点生产企业、高新技术企业、山东省名牌，通过ISO9001体系认证；拥有多项专利（如遮阳网铺设辅助装置等）。</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以国内经销+工程直销并重，设有多处办事机构，并通过进出口业务拓展韩日俄等海外市场；官网（sdhmhx.net）承担产品展示。</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公司为非上市民营企业，财务数据未公开披露，无公开营收、利润及市占率数据。从占地68亩、职工218人、上游丙纶高强丝产线与多项设备看，其为惠民绳网集群具有一体化能力的骨干企业。</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山东滨州恒迈尼龙化纤有限公司为非上市民营企业，近三年财务报表未公开披露，以下仅列公开工商与产能信息，不作财务数据编造。</w:t>
      </w:r>
    </w:p>
    <w:tbl>
      <w:tblPr>
        <w:tblStyle w:val="TableGrid"/>
        <w:tblW w:type="auto" w:w="0"/>
        <w:jc w:val="center"/>
        <w:tblLook w:firstColumn="1" w:firstRow="1" w:lastColumn="0" w:lastRow="0" w:noHBand="0" w:noVBand="1" w:val="04A0"/>
      </w:tblPr>
      <w:tblGrid>
        <w:gridCol w:w="4422"/>
        <w:gridCol w:w="4422"/>
      </w:tblGrid>
      <w:tr>
        <w:tc>
          <w:tcPr>
            <w:tcW w:type="dxa" w:w="2551"/>
          </w:tcPr>
          <w:p>
            <w:pPr>
              <w:spacing w:lineRule="exact" w:line="600"/>
              <w:jc w:val="center"/>
            </w:pPr>
            <w:r/>
            <w:r>
              <w:rPr>
                <w:rFonts w:ascii="黑体" w:hAnsi="黑体" w:eastAsia="黑体"/>
                <w:b/>
                <w:color w:val="000000"/>
                <w:sz w:val="32"/>
              </w:rPr>
              <w:t>指标</w:t>
            </w:r>
          </w:p>
        </w:tc>
        <w:tc>
          <w:tcPr>
            <w:tcW w:type="dxa" w:w="6236"/>
          </w:tcPr>
          <w:p>
            <w:pPr>
              <w:spacing w:lineRule="exact" w:line="600"/>
              <w:jc w:val="center"/>
            </w:pPr>
            <w:r/>
            <w:r>
              <w:rPr>
                <w:rFonts w:ascii="黑体" w:hAnsi="黑体" w:eastAsia="黑体"/>
                <w:b/>
                <w:color w:val="000000"/>
                <w:sz w:val="32"/>
              </w:rPr>
              <w:t>公开披露值</w:t>
            </w:r>
          </w:p>
        </w:tc>
      </w:tr>
      <w:tr>
        <w:tc>
          <w:tcPr>
            <w:tcW w:type="dxa" w:w="2551"/>
          </w:tcPr>
          <w:p>
            <w:pPr>
              <w:spacing w:lineRule="exact" w:line="600"/>
              <w:jc w:val="center"/>
            </w:pPr>
            <w:r/>
            <w:r>
              <w:rPr>
                <w:rFonts w:ascii="仿宋_GB2312" w:hAnsi="仿宋_GB2312" w:eastAsia="仿宋_GB2312"/>
                <w:b w:val="0"/>
                <w:color w:val="000000"/>
                <w:sz w:val="32"/>
              </w:rPr>
              <w:t>注册资本</w:t>
            </w:r>
          </w:p>
        </w:tc>
        <w:tc>
          <w:tcPr>
            <w:tcW w:type="dxa" w:w="6236"/>
          </w:tcPr>
          <w:p>
            <w:pPr>
              <w:spacing w:lineRule="exact" w:line="600"/>
              <w:jc w:val="center"/>
            </w:pPr>
            <w:r/>
            <w:r>
              <w:rPr>
                <w:rFonts w:ascii="仿宋_GB2312" w:hAnsi="仿宋_GB2312" w:eastAsia="仿宋_GB2312"/>
                <w:b w:val="0"/>
                <w:color w:val="000000"/>
                <w:sz w:val="32"/>
              </w:rPr>
              <w:t>2,088万元（历史1,088万元）</w:t>
            </w:r>
          </w:p>
        </w:tc>
      </w:tr>
      <w:tr>
        <w:tc>
          <w:tcPr>
            <w:tcW w:type="dxa" w:w="2551"/>
          </w:tcPr>
          <w:p>
            <w:pPr>
              <w:spacing w:lineRule="exact" w:line="600"/>
              <w:jc w:val="center"/>
            </w:pPr>
            <w:r/>
            <w:r>
              <w:rPr>
                <w:rFonts w:ascii="仿宋_GB2312" w:hAnsi="仿宋_GB2312" w:eastAsia="仿宋_GB2312"/>
                <w:b w:val="0"/>
                <w:color w:val="000000"/>
                <w:sz w:val="32"/>
              </w:rPr>
              <w:t>成立/始建</w:t>
            </w:r>
          </w:p>
        </w:tc>
        <w:tc>
          <w:tcPr>
            <w:tcW w:type="dxa" w:w="6236"/>
          </w:tcPr>
          <w:p>
            <w:pPr>
              <w:spacing w:lineRule="exact" w:line="600"/>
              <w:jc w:val="center"/>
            </w:pPr>
            <w:r/>
            <w:r>
              <w:rPr>
                <w:rFonts w:ascii="仿宋_GB2312" w:hAnsi="仿宋_GB2312" w:eastAsia="仿宋_GB2312"/>
                <w:b w:val="0"/>
                <w:color w:val="000000"/>
                <w:sz w:val="32"/>
              </w:rPr>
              <w:t>2001-07-11登记 / 1996年始建</w:t>
            </w:r>
          </w:p>
        </w:tc>
      </w:tr>
      <w:tr>
        <w:tc>
          <w:tcPr>
            <w:tcW w:type="dxa" w:w="2551"/>
          </w:tcPr>
          <w:p>
            <w:pPr>
              <w:spacing w:lineRule="exact" w:line="600"/>
              <w:jc w:val="center"/>
            </w:pPr>
            <w:r/>
            <w:r>
              <w:rPr>
                <w:rFonts w:ascii="仿宋_GB2312" w:hAnsi="仿宋_GB2312" w:eastAsia="仿宋_GB2312"/>
                <w:b w:val="0"/>
                <w:color w:val="000000"/>
                <w:sz w:val="32"/>
              </w:rPr>
              <w:t>占地/职工</w:t>
            </w:r>
          </w:p>
        </w:tc>
        <w:tc>
          <w:tcPr>
            <w:tcW w:type="dxa" w:w="6236"/>
          </w:tcPr>
          <w:p>
            <w:pPr>
              <w:spacing w:lineRule="exact" w:line="600"/>
              <w:jc w:val="center"/>
            </w:pPr>
            <w:r/>
            <w:r>
              <w:rPr>
                <w:rFonts w:ascii="仿宋_GB2312" w:hAnsi="仿宋_GB2312" w:eastAsia="仿宋_GB2312"/>
                <w:b w:val="0"/>
                <w:color w:val="000000"/>
                <w:sz w:val="32"/>
              </w:rPr>
              <w:t>45,360㎡（约68亩）/ 218人</w:t>
            </w:r>
          </w:p>
        </w:tc>
      </w:tr>
      <w:tr>
        <w:tc>
          <w:tcPr>
            <w:tcW w:type="dxa" w:w="2551"/>
          </w:tcPr>
          <w:p>
            <w:pPr>
              <w:spacing w:lineRule="exact" w:line="600"/>
              <w:jc w:val="center"/>
            </w:pPr>
            <w:r/>
            <w:r>
              <w:rPr>
                <w:rFonts w:ascii="仿宋_GB2312" w:hAnsi="仿宋_GB2312" w:eastAsia="仿宋_GB2312"/>
                <w:b w:val="0"/>
                <w:color w:val="000000"/>
                <w:sz w:val="32"/>
              </w:rPr>
              <w:t>实控人</w:t>
            </w:r>
          </w:p>
        </w:tc>
        <w:tc>
          <w:tcPr>
            <w:tcW w:type="dxa" w:w="6236"/>
          </w:tcPr>
          <w:p>
            <w:pPr>
              <w:spacing w:lineRule="exact" w:line="600"/>
              <w:jc w:val="center"/>
            </w:pPr>
            <w:r/>
            <w:r>
              <w:rPr>
                <w:rFonts w:ascii="仿宋_GB2312" w:hAnsi="仿宋_GB2312" w:eastAsia="仿宋_GB2312"/>
                <w:b w:val="0"/>
                <w:color w:val="000000"/>
                <w:sz w:val="32"/>
              </w:rPr>
              <w:t>邢大选（持股约68.01%）</w:t>
            </w:r>
          </w:p>
        </w:tc>
      </w:tr>
      <w:tr>
        <w:tc>
          <w:tcPr>
            <w:tcW w:type="dxa" w:w="2551"/>
          </w:tcPr>
          <w:p>
            <w:pPr>
              <w:spacing w:lineRule="exact" w:line="600"/>
              <w:jc w:val="center"/>
            </w:pPr>
            <w:r/>
            <w:r>
              <w:rPr>
                <w:rFonts w:ascii="仿宋_GB2312" w:hAnsi="仿宋_GB2312" w:eastAsia="仿宋_GB2312"/>
                <w:b w:val="0"/>
                <w:color w:val="000000"/>
                <w:sz w:val="32"/>
              </w:rPr>
              <w:t>营收/利润</w:t>
            </w:r>
          </w:p>
        </w:tc>
        <w:tc>
          <w:tcPr>
            <w:tcW w:type="dxa" w:w="6236"/>
          </w:tcPr>
          <w:p>
            <w:pPr>
              <w:spacing w:lineRule="exact" w:line="600"/>
              <w:jc w:val="center"/>
            </w:pPr>
            <w:r/>
            <w:r>
              <w:rPr>
                <w:rFonts w:ascii="仿宋_GB2312" w:hAnsi="仿宋_GB2312" w:eastAsia="仿宋_GB2312"/>
                <w:b w:val="0"/>
                <w:color w:val="000000"/>
                <w:sz w:val="32"/>
              </w:rPr>
              <w:t>未公开披露</w:t>
            </w:r>
          </w:p>
        </w:tc>
      </w:tr>
    </w:tbl>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财务数据未公开披露。绳网与化纤制造毛利率受原料价格与加工费竞争影响，上游高强丝自制可一定程度平滑成本。</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无公开资产数据。固定资产（厂房、织网机、拉丝机、高强丝产线）占比较大，与68亩厂区、多套产线匹配。</w:t>
      </w:r>
    </w:p>
    <w:p>
      <w:pPr>
        <w:spacing w:lineRule="exact" w:line="600" w:before="120" w:after="120"/>
        <w:ind w:firstLine="420"/>
        <w:jc w:val="left"/>
      </w:pPr>
      <w:r>
        <w:rPr>
          <w:rFonts w:ascii="楷体_GB2312" w:hAnsi="楷体_GB2312" w:eastAsia="楷体_GB2312"/>
          <w:b w:val="0"/>
          <w:color w:val="000000"/>
          <w:sz w:val="32"/>
        </w:rPr>
        <w:t>（四）负债与偿债</w:t>
      </w:r>
    </w:p>
    <w:p>
      <w:pPr>
        <w:spacing w:lineRule="exact" w:line="600" w:before="0" w:after="0"/>
        <w:ind w:firstLine="420"/>
        <w:jc w:val="both"/>
      </w:pPr>
      <w:r>
        <w:rPr>
          <w:rFonts w:ascii="仿宋_GB2312" w:hAnsi="仿宋_GB2312" w:eastAsia="仿宋_GB2312"/>
          <w:b w:val="0"/>
          <w:color w:val="000000"/>
          <w:sz w:val="32"/>
        </w:rPr>
        <w:t>无公开负债数据。建议授信前核查征信、实控人连带及对外担保（含农商行股权投资）。</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无公开现金流数据。工程与经销业务回款周期较长，需关注经营性现金流。</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与同集群金冠网具（链主、年产6,000吨、出口80国）相比，恒迈规模中等、具上游丙纶高强丝一体化能力，属集群骨干配套企业，与链主形成"原料+制品"协同。</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自然人控股的有限责任公司，设执行董事（邢大选）与监事（李成梅），未设董事会，治理简洁。</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法定代表人、执行董事邢大选，总经理，2001年被评为山东省优秀青年企业家、惠民县人大常委会常委，行业资历深、主导经营决策。</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通过ISO9001体系认证，为国家特种劳动防护用品定点生产企业，质量与安全防护内控基础较好；作为小微企业内控体系相对基础。</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职工218人（技术人员98人，占比约45%），人员以生产与技术工人为主，技术力量在同类小微企业中较强。</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上游一体化：自备丙纶高强丝流水线3套、工程纤维生产线，实现化纤原料自制，成本与品质可控。二是资质与品牌：国家特种劳动防护用品定点生产企业、高新技术企业、山东省名牌、ISO9001认证。三是产品与产能：安全网/绳网全系列、68亩厂区与多套产线，规模适中、柔性供应。四是集群协同：位于惠民"绳网之都"核心区，上下游配套与出口便利。五是出口基础：产品出口韩日俄，具备一定海外客户。</w:t>
      </w:r>
    </w:p>
    <w:p>
      <w:pPr>
        <w:spacing w:lineRule="exact" w:line="600" w:before="120" w:after="120"/>
        <w:ind w:firstLine="420"/>
        <w:jc w:val="left"/>
      </w:pPr>
      <w:r>
        <w:rPr>
          <w:rFonts w:ascii="黑体" w:hAnsi="黑体" w:eastAsia="黑体"/>
          <w:b w:val="0"/>
          <w:color w:val="000000"/>
          <w:sz w:val="32"/>
        </w:rPr>
        <w:t>六、风险分析（重点）</w:t>
      </w:r>
    </w:p>
    <w:p>
      <w:pPr>
        <w:spacing w:lineRule="exact" w:line="600" w:before="0" w:after="0"/>
        <w:ind w:firstLine="420"/>
        <w:jc w:val="both"/>
      </w:pPr>
      <w:r>
        <w:rPr>
          <w:rFonts w:ascii="仿宋_GB2312" w:hAnsi="仿宋_GB2312" w:eastAsia="仿宋_GB2312"/>
          <w:b w:val="0"/>
          <w:color w:val="000000"/>
          <w:sz w:val="32"/>
        </w:rPr>
        <w:t>一是原料价格风险：塑料/化纤原料随石化行情波动，冲击成本毛利；上游自制可部分对冲。二是市场竞争风险：绳网同质化竞争激烈，加工费承压；应对为差异化与品牌。三是客户与回款风险：工程与经销账期长，公开信息显示存在劳动争议、建设工程施工合同等涉诉记录，需强化合同与应收管理。四是规模与抗风险能力：中等规模、抗周期有限。五是安全环保风险：化纤/塑料加工涉环保排放，须合规投入。</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保理业务：对工程与海外客户的应收账款可开展保理。供应链金融：围绕化纤原料采购做订单融资、存货质押。融资租赁：丙纶高强丝线、织网机等设备升级适合直租/回租。小贷：面向临时周转。鉴于企业具上游一体化与定点生产资质，建议以"原料供应链金融+设备融资租赁"切入，控制额度并设增信。</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0" w:after="0"/>
        <w:ind w:firstLine="420"/>
        <w:jc w:val="both"/>
      </w:pPr>
      <w:r>
        <w:rPr>
          <w:rFonts w:ascii="仿宋_GB2312" w:hAnsi="仿宋_GB2312" w:eastAsia="仿宋_GB2312"/>
          <w:b w:val="0"/>
          <w:color w:val="000000"/>
          <w:sz w:val="32"/>
        </w:rPr>
        <w:t>综合评价：山东滨州恒迈尼龙化纤是惠民绳网集群具上游一体化能力的骨干企业，国家特种劳动防护用品定点生产、高新技术企业、山东省名牌，技术工人占比高，但规模中等、财务不透明、存在一定涉诉与回款风险。发展展望：据行业趋势，建筑安全防护与化纤绳网需求稳健，上游高强丝自制增强成本韧性。建议：一是对接原料供应链金融与设备融资租赁；二是授信前补充规范财务资料并评估应收与涉诉；三是关注原料价格与回款风险，设置动态监测。</w:t>
      </w:r>
    </w:p>
    <w:p>
      <w:pPr>
        <w:spacing w:lineRule="exact" w:line="600" w:before="0" w:after="0"/>
        <w:jc w:val="left"/>
      </w:pPr>
      <w:r>
        <w:rPr>
          <w:rFonts w:ascii="仿宋_GB2312" w:hAnsi="仿宋_GB2312" w:eastAsia="仿宋_GB2312"/>
          <w:b w:val="0"/>
          <w:color w:val="000000"/>
          <w:sz w:val="28"/>
        </w:rPr>
        <w:t>数据来源说明：天眼查/爱企查/企查查（工商、股权、资质、专利、涉诉）、公司官网 sdhmhx.net（产能、产品、职工、荣誉）、惠民县李庄镇绳网产业集群公开信息。财务数据未公开披露，已如实标注。</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