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山东省日照市岚山区板带材精深加工产业集群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山东钢铁集团日照有限公司企业分析报告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国家企业信用信息公示系统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钢铁集团日照有限公司成立于2009年2月19日，法定代表人为王培文，统一社会信用代码91370000685900369J，企业类型为有限责任公司（非自然人投资或控股的法人独资/国有控股），注册资本392,698.355万元人民币，注册地址位于山东省日照市东港区临钢路1号，登记机关为日照市市场监督管理局，经营状态为在营。公司由山东钢铁股份有限公司与宝山钢铁股份有限公司共同持股，属国有控股企业（山东省属国资 + 中国宝武参股）。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股东为山东钢铁股份有限公司（持股约50.5981%）、宝山钢铁股份有限公司（持股约48.6139%）及山东泽众冶金科技有限公司等；山东钢铁股份为山东省属国资（山东钢铁集团）控股的上市公司，宝钢股份为中国宝武钢铁集团（央企）旗下上市平台。公司国资层级为省属国资与中央企业交叉持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山钢日照依托日照钢铁精品基地，构建炼铁、炼钢、热轧、冷轧、镀锌等全流程精品板带材体系，是山东钢铁集团核心钢铁基地，设生产、技术、采购、销售及职能管理部门，接受山钢集团与宝武协同管理。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公司2009年设立，承载山东钢铁集团日照精品基地项目；基地建设是山东省钢铁产业结构调整与沿海布局的核心工程，引入宝钢股份作为战略投资者，形成"省属国资+宝武"合资架构。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日照市岚山区板带材精深加工产业集群"产品制造"环节核心企业，主营冷轧、热轧精品板带材（含汽车板、家电板、高强钢等）的研发、生产与销售，是集群内承上（上游钢坯）启下（下游加工）的关键制造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精品板带材为核心，分为热轧板卷、冷轧板卷、镀锌板、高强钢等系列。据山钢股份2024年年度报告，山钢日照2024年营业收入约（未单列完整营收，按合并口径—见下文三（一）），净利润为-42,136.64万元，呈现阶段性亏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主导产品为热轧卷板、冷轧薄板、镀锌板、汽车用钢、家电用钢及高强结构钢等，定位中高端，广泛应用于汽车、家电、装备制造、建筑等领域。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客户涵盖汽车主机厂及零部件厂商、家电制造商、装备与建筑企业，以及岚山区板带材精深加工集群内下游加工企业，客户结构偏向中高端制造。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生产主要原料为铁水（部分自产、部分来自山钢体系）、铁矿石、焦炭，能源为煤炭/电力；原料成本受矿价与焦价影响，依托沿海基地进口便利。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公开资料显示，日照精品基地设计年产铁约810万吨、钢约850万吨、材约790万吨，为山东省最大单体钢铁基地之一。生产涉及产能置换、排污、能效等牌照与超低排放合规要求。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采用"直供为主 + 代理分销"模式，重点服务汽车、家电等战略客户，并向集群内加工企业供应精品板带材。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据山钢股份2024年年报：山钢日照2024年净利润-42,136.64万元，资产总额约388.13亿元，净资产约186.82亿元；2024年1—9月（三季报口径）营业收入约269.98亿元、净利润约-2.76亿元。注：上述为上市公司公开披露口径。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山钢日照为山东钢铁股份（600022，国有控股上市公司）重要子公司，数据来源于山钢股份年度/季度报告（公开披露），单位：亿元。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2024年（披露）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资产总额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约388.13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山钢股份2024年报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约186.82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山钢股份2024年报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2024年净利润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-4.21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山钢日照单体口径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2024年1—9月营收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约269.98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三季报合并口径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2024年1—9月净利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约-2.76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三季报合并口径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设计年产铁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约810万吨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公开资料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设计年产钢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约850万吨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公开资料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设计年产材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约790万吨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公开资料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2024年山钢日照净利润为-42,136.64万元，呈阶段性亏损，主要受钢铁行业下行、钢价低迷与原料成本高企双重挤压；2024年1—9月仍亏损约2.76亿元。随行业景气度修复与产品结构调整，盈利有望边际改善。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资产总额约388.13亿元，净资产约186.82亿元，重资产属性突出（高炉、转炉、轧线、厂房），资产质量总体稳健，但需关注固定资产减值与产能利用率。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以资产与净资产规模看，杠杆水平总体可控；作为国有控股企业，融资渠道通畅。具体资产负债率建议以山钢股份合并口径核查。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未单独披露经营现金流；钢铁企业受行业周期与回款影响，建议以合并口径跟踪现金流质量。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在岚山区板带材集群，山钢日照为国有精品板材核心，设计产能铁810/钢850/材790万吨，与日照钢铁形成"国有+民营"双龙头；相较日钢以热轧/ESP见长，山钢日照更聚焦冷轧汽车板、家电板等中高端。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公司为国有控股有限责任公司，设董事会、经理层及党委，治理规范，接受山钢集团、山东省国资委及宝武协同监管，党组织嵌入公司治理。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法定代表人、董事长为王培文（公开登记口径）；经营班子由山钢集团委派与市场化选聘结合。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作为国有控股上市公司子公司，执行集团统一财务、审计、合规与内控体系，信息披露规范。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工商登记参保人数约5,417人，拥有冶炼、轧钢、研发、质量及职能团队，技术与质量管理人力储备充足。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（一）国资与股东壁垒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省属国资（山钢）+ 央企（宝武）双重股东背景，资本与信用优势显著，协同宝武技术与管理。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（二）装备与产品壁垒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日照精品基地装备先进，聚焦汽车板、家电板等中高端，产品认证壁垒高。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（三）区位与规模壁垒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临港基地物流便捷，铁810/钢850/材790万吨设计产能规模领先。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钢铁行业强周期，钢价低迷与产能过剩压制盈利；"双碳"与产能置换约束扩张。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2024年阶段性亏损，反映行业下行冲击；原料（矿、焦）价格波动影响成本。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阶段性亏损下需关注现金流与资产减值；具体负债结构以山钢股份合并口径核查。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超低排放、能耗与产能合规要求高，持续投入压力。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（五）管理风险与应对措施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合资治理需协调省属与宝武诉求；已通过产品高端化与降本增效应对周期，建议深化宝武协同提升盈利。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（一）融资痛点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作为国有控股企业，主体融资成本低、渠道通畅；协同重点在上下游产业链金融与产品升级。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（二）协同切入建议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：围绕山钢日照上游原料供应商、下游汽车/家电客户的应收应付，提供反向保理与经销商融资；二是融资租赁：对精品板材产线技改、环保与智能设备提供直租；三是山东投资可依托山钢日照链主地位，带动岚山区板带材集群上下游中小微企业，并以产业基金参与精品板材与绿色制造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山钢日照是岚山区板带材集群国有精品板材核心，宝武协同加持、装备与产品定位中高端，虽2024年阶段性亏损，但资产厚、信用强，是山东投资钢铁产业链金融的重要合作标的。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据公司规划与行业趋势，汽车轻量化、家电升级与绿色钢铁驱动高端板带材需求；公司有望通过宝武协同与产品结构调整改善盈利。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建议山东投资以供应链金融与融资租赁切入，依托山钢日照链主信用服务集群配套企业，并关注其盈利修复后的产业基金合作机会。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/天眼查（工商、股权、参保）、山东钢铁股份（600022）2024年年度报告及2024年第三季度报告（巨潮资讯网，资产、净资产、净利润、营收）、山钢集团及公司官网、权威媒体报道（设计产能）。财务数据来源于上市公司公开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