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山东省武城县暖通空调产业集群</w:t>
      </w:r>
    </w:p>
    <w:p>
      <w:pPr>
        <w:spacing w:lineRule="exact" w:line="600" w:before="240" w:after="240"/>
        <w:ind w:firstLine="0"/>
        <w:jc w:val="center"/>
      </w:pPr>
      <w:r>
        <w:rPr>
          <w:rFonts w:ascii="方正小标宋简体" w:hAnsi="方正小标宋简体" w:eastAsia="方正小标宋简体"/>
          <w:b w:val="0"/>
          <w:color w:val="000000"/>
          <w:sz w:val="44"/>
        </w:rPr>
        <w:t>山东金光集团有限公司企业分析报告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企查查、爱企查、水滴信用、公司官网及权威媒体（新华网山东频道、茌平区政府网、冠县政府网、高校就业网、东方财富/同花顺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金光集团有限公司（曾用名德州力得科技有限公司）成立于2004年12月29日，法定代表人苏芳文，统一社会信用代码91371400769723267P，企业类型为有限责任公司（自然人投资或控股），注册资本15,000万元人民币（实缴约14,999.5万元），登记机关为德州天衢新区（德州经济技术开发区）市场监督管理局，经营状态存续。</w:t>
      </w:r>
    </w:p>
    <w:p>
      <w:pPr>
        <w:spacing w:lineRule="exact" w:line="600" w:before="0" w:after="0"/>
        <w:ind w:firstLine="420"/>
        <w:jc w:val="both"/>
      </w:pPr>
      <w:r>
        <w:rPr>
          <w:rFonts w:ascii="仿宋_GB2312" w:hAnsi="仿宋_GB2312" w:eastAsia="仿宋_GB2312"/>
          <w:b w:val="0"/>
          <w:color w:val="000000"/>
          <w:sz w:val="32"/>
        </w:rPr>
        <w:t>注册地址位于德州市经济开发区东方红东路东首，经营范围涵盖新材料及中央空调系统相关的设计、制造、安装与技术服务等（许可项目含建设工程施工、特种设备安装改造修理等；一般项目含制冷空调设备制造与销售、风机风扇制造与销售、玻璃钢制品制造、环境保护专用设备制造等），具自营进出口权。</w:t>
      </w:r>
    </w:p>
    <w:p>
      <w:pPr>
        <w:spacing w:lineRule="exact" w:line="600" w:before="0" w:after="0"/>
        <w:ind w:firstLine="420"/>
        <w:jc w:val="both"/>
      </w:pPr>
      <w:r>
        <w:rPr>
          <w:rFonts w:ascii="仿宋_GB2312" w:hAnsi="仿宋_GB2312" w:eastAsia="仿宋_GB2312"/>
          <w:b w:val="0"/>
          <w:color w:val="000000"/>
          <w:sz w:val="32"/>
        </w:rPr>
        <w:t>股权结构：据企查查，苏敦良持股约57.07%、苏芳志持股约36.59%、于荣芹持股约6.34%，为家族式自然人控股民营。公司历史可追溯至1970年9月创立的鲁权屯农具厂，系武城暖通空调产业集群的骨干企业之一；关联企业山东金光玻璃钢集团有限公司（注册于武城县鲁权屯镇，注册资本1.2亿元，法定代表人苏芳文）同为集群内重要主体。</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金光集团以山东金光集团有限公司为核心法人，下设多家分公司（含武城、台州等）及关联玻璃钢制造主体，形成"德州总部+武城基地"的双基地布局。集团拥有省级企业技术中心，主要人员含董事长兼总经理苏芳文、董事于荣芹、苏敦良、苏芳志等。</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集团前身始于1970年9月，历经五十余年发展，由农具厂成长为集新材料及中央空调系统研发制造于一体的现代化企业集团，创建德州、武城两大生产基地，占地约50万平方米。公司通过ISO9001、ISO14001、ISO45001体系认证，消防系列产品取得CCCF国家消防产品认证，参与编制多项行业标准，工程案例包括国家体育场（鸟巢）、北京大兴国际机场、上海虹桥枢纽、广州白云国际机场等。</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企业定位为"全球新材料及中央空调系统服务商"。主营业务包括中央空调主机与末端设备、通风排烟设备、防火阀与风阀、玻璃钢制品（玻璃钢屋顶风机、冷却塔等）的研发、制造、销售、安装及技术服务。</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业务涵盖中央空调系统工程（主机、末端）、消防通风设备（风机、风阀、防火阀）、玻璃钢制品三大板块，并以工程总包与设备销售相结合方式交付。具体收入构成未公开披露。</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为中央空调主机及末端、玻璃钢屋顶风机、消防排烟风机、防火阀、风阀（70℃防火阀、280℃排烟防火阀、电动/手动调节阀、对开多叶调节阀等）、玻璃钢冷却塔及SMC模压制品。产品应用于鸟巢、大兴机场、虹桥枢纽、白云机场等重点工程。</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客户以公建、机场、轨道交通、工业厂房及房地产工程总包为主，依托覆盖全国的销售分公司与售后网点提供服务，累计服务项目覆盖商业综合体、医院、学校、机场、地铁、工业厂房等。</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生产所需钢材、树脂、电机、轴承等关键零部件与国内知名品牌供应商建立长期合作，玻璃钢产品依托德州武城玻璃钢产业带的原材料与工艺优势。</w:t>
      </w:r>
    </w:p>
    <w:p>
      <w:pPr>
        <w:spacing w:lineRule="exact" w:line="600" w:before="120" w:after="120"/>
        <w:ind w:firstLine="420"/>
        <w:jc w:val="left"/>
      </w:pPr>
      <w:r>
        <w:rPr>
          <w:rFonts w:ascii="楷体_GB2312" w:hAnsi="楷体_GB2312" w:eastAsia="楷体_GB2312"/>
          <w:b w:val="0"/>
          <w:color w:val="000000"/>
          <w:sz w:val="32"/>
        </w:rPr>
        <w:t>（五）产能、资源与牌照</w:t>
      </w:r>
    </w:p>
    <w:p>
      <w:pPr>
        <w:spacing w:lineRule="exact" w:line="600" w:before="0" w:after="0"/>
        <w:ind w:firstLine="420"/>
        <w:jc w:val="both"/>
      </w:pPr>
      <w:r>
        <w:rPr>
          <w:rFonts w:ascii="仿宋_GB2312" w:hAnsi="仿宋_GB2312" w:eastAsia="仿宋_GB2312"/>
          <w:b w:val="0"/>
          <w:color w:val="000000"/>
          <w:sz w:val="32"/>
        </w:rPr>
        <w:t>集团拥有德州、武城两大生产基地（占地约50万平方米），多条自动化生产线（数控冲压、激光切割、机器人焊接、自动喷涂），持有ISO三体系认证、CCCF消防认证，省级企业技术中心及多项专利。</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在全国主要城市设有销售分公司或办事处，形成覆盖全国的市场营销与售后服务网络，提供图纸设计、产品选型、系统优化到安装调试的全程技术支持；承诺24小时响应、72小时到场处理。</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官网称总资产约8.2亿—10亿元、员工2,600余人；但2020—2022年工商年报显示营业总收入约12.7亿—13.5亿元、参保人数约192—246人，规模口径差异较大。公司在国内暖通空调及玻璃钢制品领域具较高知名度，具体市占率未公开。</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（一）近三年主要会计数据（工商年报口径）</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835"/>
          </w:tcPr>
          <w:p>
            <w:pPr>
              <w:spacing w:lineRule="exact" w:line="600"/>
              <w:jc w:val="center"/>
            </w:pPr>
            <w:r/>
            <w:r>
              <w:rPr>
                <w:rFonts w:ascii="黑体" w:hAnsi="黑体" w:eastAsia="黑体"/>
                <w:b/>
                <w:color w:val="000000"/>
                <w:sz w:val="32"/>
              </w:rPr>
              <w:t>指标</w:t>
            </w:r>
          </w:p>
        </w:tc>
        <w:tc>
          <w:tcPr>
            <w:tcW w:type="dxa" w:w="1928"/>
          </w:tcPr>
          <w:p>
            <w:pPr>
              <w:spacing w:lineRule="exact" w:line="600"/>
              <w:jc w:val="center"/>
            </w:pPr>
            <w:r/>
            <w:r>
              <w:rPr>
                <w:rFonts w:ascii="黑体" w:hAnsi="黑体" w:eastAsia="黑体"/>
                <w:b/>
                <w:color w:val="000000"/>
                <w:sz w:val="32"/>
              </w:rPr>
              <w:t>2020年</w:t>
            </w:r>
          </w:p>
        </w:tc>
        <w:tc>
          <w:tcPr>
            <w:tcW w:type="dxa" w:w="1928"/>
          </w:tcPr>
          <w:p>
            <w:pPr>
              <w:spacing w:lineRule="exact" w:line="600"/>
              <w:jc w:val="center"/>
            </w:pPr>
            <w:r/>
            <w:r>
              <w:rPr>
                <w:rFonts w:ascii="黑体" w:hAnsi="黑体" w:eastAsia="黑体"/>
                <w:b/>
                <w:color w:val="000000"/>
                <w:sz w:val="32"/>
              </w:rPr>
              <w:t>2021年</w:t>
            </w:r>
          </w:p>
        </w:tc>
        <w:tc>
          <w:tcPr>
            <w:tcW w:type="dxa" w:w="1928"/>
          </w:tcPr>
          <w:p>
            <w:pPr>
              <w:spacing w:lineRule="exact" w:line="600"/>
              <w:jc w:val="center"/>
            </w:pPr>
            <w:r/>
            <w:r>
              <w:rPr>
                <w:rFonts w:ascii="黑体" w:hAnsi="黑体" w:eastAsia="黑体"/>
                <w:b/>
                <w:color w:val="000000"/>
                <w:sz w:val="32"/>
              </w:rPr>
              <w:t>2022年</w:t>
            </w:r>
          </w:p>
        </w:tc>
      </w:tr>
      <w:tr>
        <w:tc>
          <w:tcPr>
            <w:tcW w:type="dxa" w:w="2835"/>
          </w:tcPr>
          <w:p>
            <w:pPr>
              <w:spacing w:lineRule="exact" w:line="600"/>
              <w:jc w:val="center"/>
            </w:pPr>
            <w:r/>
            <w:r>
              <w:rPr>
                <w:rFonts w:ascii="仿宋_GB2312" w:hAnsi="仿宋_GB2312" w:eastAsia="仿宋_GB2312"/>
                <w:b w:val="0"/>
                <w:color w:val="000000"/>
                <w:sz w:val="32"/>
              </w:rPr>
              <w:t>资产总额（亿元）</w:t>
            </w:r>
          </w:p>
        </w:tc>
        <w:tc>
          <w:tcPr>
            <w:tcW w:type="dxa" w:w="1928"/>
          </w:tcPr>
          <w:p>
            <w:pPr>
              <w:spacing w:lineRule="exact" w:line="600"/>
              <w:jc w:val="center"/>
            </w:pPr>
            <w:r/>
            <w:r>
              <w:rPr>
                <w:rFonts w:ascii="仿宋_GB2312" w:hAnsi="仿宋_GB2312" w:eastAsia="仿宋_GB2312"/>
                <w:b w:val="0"/>
                <w:color w:val="000000"/>
                <w:sz w:val="32"/>
              </w:rPr>
              <w:t>11.06</w:t>
            </w:r>
          </w:p>
        </w:tc>
        <w:tc>
          <w:tcPr>
            <w:tcW w:type="dxa" w:w="1928"/>
          </w:tcPr>
          <w:p>
            <w:pPr>
              <w:spacing w:lineRule="exact" w:line="600"/>
              <w:jc w:val="center"/>
            </w:pPr>
            <w:r/>
            <w:r>
              <w:rPr>
                <w:rFonts w:ascii="仿宋_GB2312" w:hAnsi="仿宋_GB2312" w:eastAsia="仿宋_GB2312"/>
                <w:b w:val="0"/>
                <w:color w:val="000000"/>
                <w:sz w:val="32"/>
              </w:rPr>
              <w:t>11.25</w:t>
            </w:r>
          </w:p>
        </w:tc>
        <w:tc>
          <w:tcPr>
            <w:tcW w:type="dxa" w:w="1928"/>
          </w:tcPr>
          <w:p>
            <w:pPr>
              <w:spacing w:lineRule="exact" w:line="600"/>
              <w:jc w:val="center"/>
            </w:pPr>
            <w:r/>
            <w:r>
              <w:rPr>
                <w:rFonts w:ascii="仿宋_GB2312" w:hAnsi="仿宋_GB2312" w:eastAsia="仿宋_GB2312"/>
                <w:b w:val="0"/>
                <w:color w:val="000000"/>
                <w:sz w:val="32"/>
              </w:rPr>
              <w:t>16.20</w:t>
            </w:r>
          </w:p>
        </w:tc>
      </w:tr>
      <w:tr>
        <w:tc>
          <w:tcPr>
            <w:tcW w:type="dxa" w:w="2835"/>
          </w:tcPr>
          <w:p>
            <w:pPr>
              <w:spacing w:lineRule="exact" w:line="600"/>
              <w:jc w:val="center"/>
            </w:pPr>
            <w:r/>
            <w:r>
              <w:rPr>
                <w:rFonts w:ascii="仿宋_GB2312" w:hAnsi="仿宋_GB2312" w:eastAsia="仿宋_GB2312"/>
                <w:b w:val="0"/>
                <w:color w:val="000000"/>
                <w:sz w:val="32"/>
              </w:rPr>
              <w:t>负债总额（亿元）</w:t>
            </w:r>
          </w:p>
        </w:tc>
        <w:tc>
          <w:tcPr>
            <w:tcW w:type="dxa" w:w="1928"/>
          </w:tcPr>
          <w:p>
            <w:pPr>
              <w:spacing w:lineRule="exact" w:line="600"/>
              <w:jc w:val="center"/>
            </w:pPr>
            <w:r/>
            <w:r>
              <w:rPr>
                <w:rFonts w:ascii="仿宋_GB2312" w:hAnsi="仿宋_GB2312" w:eastAsia="仿宋_GB2312"/>
                <w:b w:val="0"/>
                <w:color w:val="000000"/>
                <w:sz w:val="32"/>
              </w:rPr>
              <w:t>10.10</w:t>
            </w:r>
          </w:p>
        </w:tc>
        <w:tc>
          <w:tcPr>
            <w:tcW w:type="dxa" w:w="1928"/>
          </w:tcPr>
          <w:p>
            <w:pPr>
              <w:spacing w:lineRule="exact" w:line="600"/>
              <w:jc w:val="center"/>
            </w:pPr>
            <w:r/>
            <w:r>
              <w:rPr>
                <w:rFonts w:ascii="仿宋_GB2312" w:hAnsi="仿宋_GB2312" w:eastAsia="仿宋_GB2312"/>
                <w:b w:val="0"/>
                <w:color w:val="000000"/>
                <w:sz w:val="32"/>
              </w:rPr>
              <w:t>10.31</w:t>
            </w:r>
          </w:p>
        </w:tc>
        <w:tc>
          <w:tcPr>
            <w:tcW w:type="dxa" w:w="1928"/>
          </w:tcPr>
          <w:p>
            <w:pPr>
              <w:spacing w:lineRule="exact" w:line="600"/>
              <w:jc w:val="center"/>
            </w:pPr>
            <w:r/>
            <w:r>
              <w:rPr>
                <w:rFonts w:ascii="仿宋_GB2312" w:hAnsi="仿宋_GB2312" w:eastAsia="仿宋_GB2312"/>
                <w:b w:val="0"/>
                <w:color w:val="000000"/>
                <w:sz w:val="32"/>
              </w:rPr>
              <w:t>15.46</w:t>
            </w:r>
          </w:p>
        </w:tc>
      </w:tr>
      <w:tr>
        <w:tc>
          <w:tcPr>
            <w:tcW w:type="dxa" w:w="2835"/>
          </w:tcPr>
          <w:p>
            <w:pPr>
              <w:spacing w:lineRule="exact" w:line="600"/>
              <w:jc w:val="center"/>
            </w:pPr>
            <w:r/>
            <w:r>
              <w:rPr>
                <w:rFonts w:ascii="仿宋_GB2312" w:hAnsi="仿宋_GB2312" w:eastAsia="仿宋_GB2312"/>
                <w:b w:val="0"/>
                <w:color w:val="000000"/>
                <w:sz w:val="32"/>
              </w:rPr>
              <w:t>营业收入（亿元）</w:t>
            </w:r>
          </w:p>
        </w:tc>
        <w:tc>
          <w:tcPr>
            <w:tcW w:type="dxa" w:w="1928"/>
          </w:tcPr>
          <w:p>
            <w:pPr>
              <w:spacing w:lineRule="exact" w:line="600"/>
              <w:jc w:val="center"/>
            </w:pPr>
            <w:r/>
            <w:r>
              <w:rPr>
                <w:rFonts w:ascii="仿宋_GB2312" w:hAnsi="仿宋_GB2312" w:eastAsia="仿宋_GB2312"/>
                <w:b w:val="0"/>
                <w:color w:val="000000"/>
                <w:sz w:val="32"/>
              </w:rPr>
              <w:t>13.54</w:t>
            </w:r>
          </w:p>
        </w:tc>
        <w:tc>
          <w:tcPr>
            <w:tcW w:type="dxa" w:w="1928"/>
          </w:tcPr>
          <w:p>
            <w:pPr>
              <w:spacing w:lineRule="exact" w:line="600"/>
              <w:jc w:val="center"/>
            </w:pPr>
            <w:r/>
            <w:r>
              <w:rPr>
                <w:rFonts w:ascii="仿宋_GB2312" w:hAnsi="仿宋_GB2312" w:eastAsia="仿宋_GB2312"/>
                <w:b w:val="0"/>
                <w:color w:val="000000"/>
                <w:sz w:val="32"/>
              </w:rPr>
              <w:t>13.49</w:t>
            </w:r>
          </w:p>
        </w:tc>
        <w:tc>
          <w:tcPr>
            <w:tcW w:type="dxa" w:w="1928"/>
          </w:tcPr>
          <w:p>
            <w:pPr>
              <w:spacing w:lineRule="exact" w:line="600"/>
              <w:jc w:val="center"/>
            </w:pPr>
            <w:r/>
            <w:r>
              <w:rPr>
                <w:rFonts w:ascii="仿宋_GB2312" w:hAnsi="仿宋_GB2312" w:eastAsia="仿宋_GB2312"/>
                <w:b w:val="0"/>
                <w:color w:val="000000"/>
                <w:sz w:val="32"/>
              </w:rPr>
              <w:t>12.75</w:t>
            </w:r>
          </w:p>
        </w:tc>
      </w:tr>
      <w:tr>
        <w:tc>
          <w:tcPr>
            <w:tcW w:type="dxa" w:w="2835"/>
          </w:tcPr>
          <w:p>
            <w:pPr>
              <w:spacing w:lineRule="exact" w:line="600"/>
              <w:jc w:val="center"/>
            </w:pPr>
            <w:r/>
            <w:r>
              <w:rPr>
                <w:rFonts w:ascii="仿宋_GB2312" w:hAnsi="仿宋_GB2312" w:eastAsia="仿宋_GB2312"/>
                <w:b w:val="0"/>
                <w:color w:val="000000"/>
                <w:sz w:val="32"/>
              </w:rPr>
              <w:t>净利润（亿元）</w:t>
            </w:r>
          </w:p>
        </w:tc>
        <w:tc>
          <w:tcPr>
            <w:tcW w:type="dxa" w:w="1928"/>
          </w:tcPr>
          <w:p>
            <w:pPr>
              <w:spacing w:lineRule="exact" w:line="600"/>
              <w:jc w:val="center"/>
            </w:pPr>
            <w:r/>
            <w:r>
              <w:rPr>
                <w:rFonts w:ascii="仿宋_GB2312" w:hAnsi="仿宋_GB2312" w:eastAsia="仿宋_GB2312"/>
                <w:b w:val="0"/>
                <w:color w:val="000000"/>
                <w:sz w:val="32"/>
              </w:rPr>
              <w:t>-1.06</w:t>
            </w:r>
          </w:p>
        </w:tc>
        <w:tc>
          <w:tcPr>
            <w:tcW w:type="dxa" w:w="1928"/>
          </w:tcPr>
          <w:p>
            <w:pPr>
              <w:spacing w:lineRule="exact" w:line="600"/>
              <w:jc w:val="center"/>
            </w:pPr>
            <w:r/>
            <w:r>
              <w:rPr>
                <w:rFonts w:ascii="仿宋_GB2312" w:hAnsi="仿宋_GB2312" w:eastAsia="仿宋_GB2312"/>
                <w:b w:val="0"/>
                <w:color w:val="000000"/>
                <w:sz w:val="32"/>
              </w:rPr>
              <w:t>-1.20</w:t>
            </w:r>
          </w:p>
        </w:tc>
        <w:tc>
          <w:tcPr>
            <w:tcW w:type="dxa" w:w="1928"/>
          </w:tcPr>
          <w:p>
            <w:pPr>
              <w:spacing w:lineRule="exact" w:line="600"/>
              <w:jc w:val="center"/>
            </w:pPr>
            <w:r/>
            <w:r>
              <w:rPr>
                <w:rFonts w:ascii="仿宋_GB2312" w:hAnsi="仿宋_GB2312" w:eastAsia="仿宋_GB2312"/>
                <w:b w:val="0"/>
                <w:color w:val="000000"/>
                <w:sz w:val="32"/>
              </w:rPr>
              <w:t>-0.76</w:t>
            </w:r>
          </w:p>
        </w:tc>
      </w:tr>
      <w:tr>
        <w:tc>
          <w:tcPr>
            <w:tcW w:type="dxa" w:w="2835"/>
          </w:tcPr>
          <w:p>
            <w:pPr>
              <w:spacing w:lineRule="exact" w:line="600"/>
              <w:jc w:val="center"/>
            </w:pPr>
            <w:r/>
            <w:r>
              <w:rPr>
                <w:rFonts w:ascii="仿宋_GB2312" w:hAnsi="仿宋_GB2312" w:eastAsia="仿宋_GB2312"/>
                <w:b w:val="0"/>
                <w:color w:val="000000"/>
                <w:sz w:val="32"/>
              </w:rPr>
              <w:t>资产负债率（%）</w:t>
            </w:r>
          </w:p>
        </w:tc>
        <w:tc>
          <w:tcPr>
            <w:tcW w:type="dxa" w:w="1928"/>
          </w:tcPr>
          <w:p>
            <w:pPr>
              <w:spacing w:lineRule="exact" w:line="600"/>
              <w:jc w:val="center"/>
            </w:pPr>
            <w:r/>
            <w:r>
              <w:rPr>
                <w:rFonts w:ascii="仿宋_GB2312" w:hAnsi="仿宋_GB2312" w:eastAsia="仿宋_GB2312"/>
                <w:b w:val="0"/>
                <w:color w:val="000000"/>
                <w:sz w:val="32"/>
              </w:rPr>
              <w:t>约91.3</w:t>
            </w:r>
          </w:p>
        </w:tc>
        <w:tc>
          <w:tcPr>
            <w:tcW w:type="dxa" w:w="1928"/>
          </w:tcPr>
          <w:p>
            <w:pPr>
              <w:spacing w:lineRule="exact" w:line="600"/>
              <w:jc w:val="center"/>
            </w:pPr>
            <w:r/>
            <w:r>
              <w:rPr>
                <w:rFonts w:ascii="仿宋_GB2312" w:hAnsi="仿宋_GB2312" w:eastAsia="仿宋_GB2312"/>
                <w:b w:val="0"/>
                <w:color w:val="000000"/>
                <w:sz w:val="32"/>
              </w:rPr>
              <w:t>约91.6</w:t>
            </w:r>
          </w:p>
        </w:tc>
        <w:tc>
          <w:tcPr>
            <w:tcW w:type="dxa" w:w="1928"/>
          </w:tcPr>
          <w:p>
            <w:pPr>
              <w:spacing w:lineRule="exact" w:line="600"/>
              <w:jc w:val="center"/>
            </w:pPr>
            <w:r/>
            <w:r>
              <w:rPr>
                <w:rFonts w:ascii="仿宋_GB2312" w:hAnsi="仿宋_GB2312" w:eastAsia="仿宋_GB2312"/>
                <w:b w:val="0"/>
                <w:color w:val="000000"/>
                <w:sz w:val="32"/>
              </w:rPr>
              <w:t>约95.4</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2020—2022年工商年报连续三年净利润为负（分别为-1,061.5万元、-1,195万元、-756万元），呈现持续亏损状态，盈利能力偏弱，反映传统暖通制造竞争激烈、成本与费用压力较大。</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2022年末资产总额16.20亿元，主要为厂房设备与存货；但负债高达15.46亿元，净资产仅约0.74亿元，资产质量受制于高负债与微薄权益。</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资产负债率由2020年约91.3%升至2022年约95.4%，长期处于极高水平，财务杠杆过度，偿债安全边际极薄，存在较大偿债风险。</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工商年报未完整披露经营现金流。考虑持续亏损与高负债，公司经营性现金流应较为紧张，依赖再融资与股东支持维持运转。</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与同处武城集群的中威空调相比，金光资产与营收规模更大，但连续亏损、资产负债率畸高，财务稳健性明显弱于行业健康水平，需高度关注其偿债与持续经营能力。</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公司为自然人控股的有限责任公司，苏氏家族合计持股超93%，治理集中。设董事长（苏芳文）、董事及财务负责人，未实行公众公司独立董事制度。</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苏芳文任董事长兼总经理，苏敦良、苏芳志、于荣芹任董事，周志立任财务负责人，核心管理层以家族成员为主。</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集团通过ISO三体系认证，建有省级企业技术中心，推行数字化管理系统；但高负债与连续亏损反映内部财务管控与资本结构管理存在改进空间。</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公司官网称员工2,600余人（工程技术人员占比较高），但工商年报参保人数约192—246人，口径差异显著；实际用工规模以企业披露为准。</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品牌与工程背书：鸟巢、大兴机场等标杆项目积累强公信力；二是全产业链与双基地：德州+武城布局、厂房设备规模居前；三是资质壁垒：CCCF消防认证、ISO三体系、省级技术中心；四是全国营销服务网络；五是玻璃钢等差异化产品（冷却塔、SMC模压）形成细分优势。</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0" w:after="0"/>
        <w:ind w:firstLine="420"/>
        <w:jc w:val="both"/>
      </w:pPr>
      <w:r>
        <w:rPr>
          <w:rFonts w:ascii="仿宋_GB2312" w:hAnsi="仿宋_GB2312" w:eastAsia="仿宋_GB2312"/>
          <w:b w:val="0"/>
          <w:color w:val="000000"/>
          <w:sz w:val="32"/>
        </w:rPr>
        <w:t>财务风险（重点）：2020—2022年连续亏损、资产负债率升至约95.4%，偿债安全边际极薄，持续经营依赖再融资与股东支持。经营风险：传统暖通制造竞争激烈、毛利承压。合规风险：据企查查，公司存在一定数量司法案件与自身风险记录，需关注合同与诉讼风险。应对措施：公司通过产品升级、数字化转型与资质建设提升竞争力，但根本改善需优化资本结构与止血扭亏。</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鉴于金光集团高负债、连续亏损的财务状况，山东投资介入须高度审慎：（1）不宜直接提供大额信用融资，可优先以有真实交易背景的供应链金融/保理切入，绑定优质工程应收账款；（2）融资租赁：对其设备更新可采取"设备直租+资产抵押"结构，控制敞口；（3）小贷业务：仅可在强担保、强回款闭环下小额试探；（4）建议先做详尽职调与资产确权，设置分期投放与回款监管，严守风险底线。</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金光集团是武城暖通空调产业集群的知名品牌企业，工程业绩与资质壁垒突出，但连续亏损与畸高负债率是其最大隐忧，资本结构亟需优化。据行业趋势，公共建筑更新与节能改造带来需求支撑，但传统制造盈利修复缓慢。建议：一是压降财务杠杆、引入战略投资人或推动混改；二是聚焦高毛利消防与玻璃钢细分；三是规范财务披露。山东投资与其协同宜以"强担保+供应链闭环"的小步试探为主，严控风险。</w:t>
      </w:r>
    </w:p>
    <w:p>
      <w:pPr>
        <w:spacing w:lineRule="exact" w:line="600" w:before="0" w:after="0"/>
        <w:jc w:val="left"/>
      </w:pPr>
      <w:r>
        <w:rPr>
          <w:rFonts w:ascii="仿宋_GB2312" w:hAnsi="仿宋_GB2312" w:eastAsia="仿宋_GB2312"/>
          <w:b w:val="0"/>
          <w:color w:val="000000"/>
          <w:sz w:val="28"/>
        </w:rPr>
        <w:t>数据来源说明：国家企业信用信息公示系统（企业年报）、天眼查、企查查、公司官网（kinflare.com）、水滴信用及公开报道。财务数据取自2020—2022年工商年报，2023年后完整财务未公示。</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