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山东省泰安市岱岳区装饰装配材料产业集群</w:t>
      </w:r>
    </w:p>
    <w:p>
      <w:pPr>
        <w:spacing w:lineRule="exact" w:line="600" w:before="240" w:after="240"/>
        <w:ind w:firstLine="0"/>
        <w:jc w:val="center"/>
      </w:pPr>
      <w:r>
        <w:rPr>
          <w:rFonts w:ascii="方正小标宋简体" w:hAnsi="方正小标宋简体" w:eastAsia="方正小标宋简体"/>
          <w:b w:val="0"/>
          <w:color w:val="000000"/>
          <w:sz w:val="44"/>
        </w:rPr>
        <w:t>泰山石膏有限公司企业分析报告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国家企业信用信息公示系统、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泰山石膏有限公司成立于1998年6月24日，法定代表人为任利，统一社会信用代码91370000720743873W，企业类型为有限责任公司（非自然人投资或控股的法人独资），注册资本15,562.5万元人民币，注册地址位于山东省泰安市岱岳区大汶口镇，登记机关为泰安市岱岳区市场监督管理局，经营状态为在营。公司为中国建材集团有限公司（央企）旗下核心骨干企业，是央企控股的国有控股企业。</w:t>
      </w:r>
    </w:p>
    <w:p>
      <w:pPr>
        <w:spacing w:lineRule="exact" w:line="600" w:before="0" w:after="0"/>
        <w:ind w:firstLine="420"/>
        <w:jc w:val="both"/>
      </w:pPr>
      <w:r>
        <w:rPr>
          <w:rFonts w:ascii="仿宋_GB2312" w:hAnsi="仿宋_GB2312" w:eastAsia="仿宋_GB2312"/>
          <w:b w:val="0"/>
          <w:color w:val="000000"/>
          <w:sz w:val="32"/>
        </w:rPr>
        <w:t>股权结构：公司股东为"新集团"（即中国建材集团旗下石膏板业务持股平台，全称中国建材股份有限公司体系内全资/控股主体），中国建材集团为公司最终实际控制人，国务院国资委为集团出资人。公司国资层级为中央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泰山石膏以总部（泰安岱岳区大汶口镇）为研发与管控中枢，在全国布局约56家生产基地（分子公司），形成"总部+基地"的集团化运营架构，覆盖石膏板、石膏粉、轻钢龙骨等装饰装配材料的研发、生产与销售。</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为地方石膏板厂，1998年完成现行法人主体工商登记；后通过中国建材集团重组整合，成为集团石膏板业务核心平台。经过二十余年发展，公司产能与市占率稳居国内纸面石膏板行业首位，并获评"制造业单项冠军"示范企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泰安市岱岳区装饰装配材料产业集群的"基础原料与单体"环节龙头/链主企业，主营纸面石膏板、石膏粉、轻钢龙骨等装饰装配材料的研发、生产与销售，是国内装饰装修与装配式建筑墙体材料的核心供应商。</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业务以纸面石膏板为核心，配套石膏粉、轻钢龙骨等，形成装饰装配材料一体化供应。公司未公开披露分产品收入占比；公开报道显示2025年营业收入约109.55亿元，为集团主要收入来源之一。</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主导产品为"泰山"牌纸面石膏板（普通、耐水、耐火、防潮等系列）、石膏粉（建筑石膏、抹灰石膏）、轻钢龙骨及配套辅材，并提供装配式内装墙体系统解决方案。产品通过"泰山品质"认证，品牌美誉度高。</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客户涵盖房地产开发商、建筑装饰工程公司、工装与家装公司、建材经销商及政府公建项目，下游覆盖住宅、商业、公共建筑等装饰装修场景，客户结构分散且稳定。</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生产所需主要原料为天然石膏/工业副产石膏（脱硫石膏、磷石膏），依托全国性基地就近取材；能源为煤炭/电力。公司通过副产石膏综合利用实现资源循环，原料保障性强。</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公开资料显示，公司资产规模约133亿元，国内纸面石膏板年产能约25亿平方米，布局约56家生产基地，国内市占率约53%，居行业绝对领先地位。"泰山"品牌获"制造业单项冠军"、泰山品质认证等资质荣誉。</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采用"基地就近辐射 + 经销商网络 + 工程直供"模式，全国基地布局保障交付半径与响应速度，覆盖各级建材市场与工程客户。</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公开报道：2025年营业收入约109.55亿元，国内市占率约53%，年产能约25亿平方米，基地约56家。注：上述为公开报道口径，非审计合并财务报表，具体以公司披露的经审计数据为准。</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泰山石膏为央企中国建材集团旗下非上市企业，完整审计财务报表未公开披露；以下列公开报道可获取数据，单位：亿元，不作财务数据编造。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1.55625</w:t>
            </w:r>
          </w:p>
        </w:tc>
      </w:tr>
      <w:tr>
        <w:tc>
          <w:tcPr>
            <w:tcW w:type="dxa" w:w="2551"/>
          </w:tcPr>
          <w:p>
            <w:pPr>
              <w:spacing w:lineRule="exact" w:line="600"/>
              <w:jc w:val="center"/>
            </w:pPr>
            <w:r/>
            <w:r>
              <w:rPr>
                <w:rFonts w:ascii="仿宋_GB2312" w:hAnsi="仿宋_GB2312" w:eastAsia="仿宋_GB2312"/>
                <w:b w:val="0"/>
                <w:color w:val="000000"/>
                <w:sz w:val="32"/>
              </w:rPr>
              <w:t>资产总额</w:t>
            </w:r>
          </w:p>
        </w:tc>
        <w:tc>
          <w:tcPr>
            <w:tcW w:type="dxa" w:w="6236"/>
          </w:tcPr>
          <w:p>
            <w:pPr>
              <w:spacing w:lineRule="exact" w:line="600"/>
              <w:jc w:val="center"/>
            </w:pPr>
            <w:r/>
            <w:r>
              <w:rPr>
                <w:rFonts w:ascii="仿宋_GB2312" w:hAnsi="仿宋_GB2312" w:eastAsia="仿宋_GB2312"/>
                <w:b w:val="0"/>
                <w:color w:val="000000"/>
                <w:sz w:val="32"/>
              </w:rPr>
              <w:t>约133（公开报道口径）</w:t>
            </w:r>
          </w:p>
        </w:tc>
      </w:tr>
      <w:tr>
        <w:tc>
          <w:tcPr>
            <w:tcW w:type="dxa" w:w="2551"/>
          </w:tcPr>
          <w:p>
            <w:pPr>
              <w:spacing w:lineRule="exact" w:line="600"/>
              <w:jc w:val="center"/>
            </w:pPr>
            <w:r/>
            <w:r>
              <w:rPr>
                <w:rFonts w:ascii="仿宋_GB2312" w:hAnsi="仿宋_GB2312" w:eastAsia="仿宋_GB2312"/>
                <w:b w:val="0"/>
                <w:color w:val="000000"/>
                <w:sz w:val="32"/>
              </w:rPr>
              <w:t>2025年营业收入</w:t>
            </w:r>
          </w:p>
        </w:tc>
        <w:tc>
          <w:tcPr>
            <w:tcW w:type="dxa" w:w="6236"/>
          </w:tcPr>
          <w:p>
            <w:pPr>
              <w:spacing w:lineRule="exact" w:line="600"/>
              <w:jc w:val="center"/>
            </w:pPr>
            <w:r/>
            <w:r>
              <w:rPr>
                <w:rFonts w:ascii="仿宋_GB2312" w:hAnsi="仿宋_GB2312" w:eastAsia="仿宋_GB2312"/>
                <w:b w:val="0"/>
                <w:color w:val="000000"/>
                <w:sz w:val="32"/>
              </w:rPr>
              <w:t>约109.55（公开报道口径）</w:t>
            </w:r>
          </w:p>
        </w:tc>
      </w:tr>
      <w:tr>
        <w:tc>
          <w:tcPr>
            <w:tcW w:type="dxa" w:w="2551"/>
          </w:tcPr>
          <w:p>
            <w:pPr>
              <w:spacing w:lineRule="exact" w:line="600"/>
              <w:jc w:val="center"/>
            </w:pPr>
            <w:r/>
            <w:r>
              <w:rPr>
                <w:rFonts w:ascii="仿宋_GB2312" w:hAnsi="仿宋_GB2312" w:eastAsia="仿宋_GB2312"/>
                <w:b w:val="0"/>
                <w:color w:val="000000"/>
                <w:sz w:val="32"/>
              </w:rPr>
              <w:t>国内市占率</w:t>
            </w:r>
          </w:p>
        </w:tc>
        <w:tc>
          <w:tcPr>
            <w:tcW w:type="dxa" w:w="6236"/>
          </w:tcPr>
          <w:p>
            <w:pPr>
              <w:spacing w:lineRule="exact" w:line="600"/>
              <w:jc w:val="center"/>
            </w:pPr>
            <w:r/>
            <w:r>
              <w:rPr>
                <w:rFonts w:ascii="仿宋_GB2312" w:hAnsi="仿宋_GB2312" w:eastAsia="仿宋_GB2312"/>
                <w:b w:val="0"/>
                <w:color w:val="000000"/>
                <w:sz w:val="32"/>
              </w:rPr>
              <w:t>约53%</w:t>
            </w:r>
          </w:p>
        </w:tc>
      </w:tr>
      <w:tr>
        <w:tc>
          <w:tcPr>
            <w:tcW w:type="dxa" w:w="2551"/>
          </w:tcPr>
          <w:p>
            <w:pPr>
              <w:spacing w:lineRule="exact" w:line="600"/>
              <w:jc w:val="center"/>
            </w:pPr>
            <w:r/>
            <w:r>
              <w:rPr>
                <w:rFonts w:ascii="仿宋_GB2312" w:hAnsi="仿宋_GB2312" w:eastAsia="仿宋_GB2312"/>
                <w:b w:val="0"/>
                <w:color w:val="000000"/>
                <w:sz w:val="32"/>
              </w:rPr>
              <w:t>年产能（石膏板）</w:t>
            </w:r>
          </w:p>
        </w:tc>
        <w:tc>
          <w:tcPr>
            <w:tcW w:type="dxa" w:w="6236"/>
          </w:tcPr>
          <w:p>
            <w:pPr>
              <w:spacing w:lineRule="exact" w:line="600"/>
              <w:jc w:val="center"/>
            </w:pPr>
            <w:r/>
            <w:r>
              <w:rPr>
                <w:rFonts w:ascii="仿宋_GB2312" w:hAnsi="仿宋_GB2312" w:eastAsia="仿宋_GB2312"/>
                <w:b w:val="0"/>
                <w:color w:val="000000"/>
                <w:sz w:val="32"/>
              </w:rPr>
              <w:t>约25亿平方米</w:t>
            </w:r>
          </w:p>
        </w:tc>
      </w:tr>
      <w:tr>
        <w:tc>
          <w:tcPr>
            <w:tcW w:type="dxa" w:w="2551"/>
          </w:tcPr>
          <w:p>
            <w:pPr>
              <w:spacing w:lineRule="exact" w:line="600"/>
              <w:jc w:val="center"/>
            </w:pPr>
            <w:r/>
            <w:r>
              <w:rPr>
                <w:rFonts w:ascii="仿宋_GB2312" w:hAnsi="仿宋_GB2312" w:eastAsia="仿宋_GB2312"/>
                <w:b w:val="0"/>
                <w:color w:val="000000"/>
                <w:sz w:val="32"/>
              </w:rPr>
              <w:t>生产基地</w:t>
            </w:r>
          </w:p>
        </w:tc>
        <w:tc>
          <w:tcPr>
            <w:tcW w:type="dxa" w:w="6236"/>
          </w:tcPr>
          <w:p>
            <w:pPr>
              <w:spacing w:lineRule="exact" w:line="600"/>
              <w:jc w:val="center"/>
            </w:pPr>
            <w:r/>
            <w:r>
              <w:rPr>
                <w:rFonts w:ascii="仿宋_GB2312" w:hAnsi="仿宋_GB2312" w:eastAsia="仿宋_GB2312"/>
                <w:b w:val="0"/>
                <w:color w:val="000000"/>
                <w:sz w:val="32"/>
              </w:rPr>
              <w:t>约56家</w:t>
            </w:r>
          </w:p>
        </w:tc>
      </w:tr>
      <w:tr>
        <w:tc>
          <w:tcPr>
            <w:tcW w:type="dxa" w:w="2551"/>
          </w:tcPr>
          <w:p>
            <w:pPr>
              <w:spacing w:lineRule="exact" w:line="600"/>
              <w:jc w:val="center"/>
            </w:pPr>
            <w:r/>
            <w:r>
              <w:rPr>
                <w:rFonts w:ascii="仿宋_GB2312" w:hAnsi="仿宋_GB2312" w:eastAsia="仿宋_GB2312"/>
                <w:b w:val="0"/>
                <w:color w:val="000000"/>
                <w:sz w:val="32"/>
              </w:rPr>
              <w:t>归母净利润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公司未公开披露归母净利润。石膏板行业规模效应显著，公司作为市占率超50%的龙头，凭借全国基地布局、副产石膏循环利用的成本优势及"泰山"品牌溢价，盈利能力在行业内领先。</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公开报道资产约133亿元，重资产属性（基地、产线、土地厂房）明显，与约56家基地、25亿平方米产能相匹配；资产以固定资产与存货为主。</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无公开负债数据。作为央企控股企业，融资渠道通畅、信用等级高，偿债能力有保障；具体资产负债率建议以集团合并口径核查。</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无公开现金流数据。制造业经营现金流总体稳健，叠加央企背景，现金流保障性强。</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在国内纸面石膏板行业，泰山石膏市占率约53%、产能与营收规模均居首位，显著领先北新建材（龙牌/泰山同属中国建材体系）之外的其他区域品牌；作为装饰装配材料集群链主，对上下游带动力强。</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公司为央企控股有限责任公司，设董事会、经理层及党委，治理规范，接受中国建材集团及国务院国资委监管，党组织嵌入公司治理。</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法定代表人、董事长/总经理为任利（公开登记口径）；经营班子由集团委派与市场化选聘结合。</w:t>
      </w:r>
    </w:p>
    <w:p>
      <w:pPr>
        <w:spacing w:lineRule="exact" w:line="600" w:before="120" w:after="120"/>
        <w:ind w:firstLine="420"/>
        <w:jc w:val="left"/>
      </w:pPr>
      <w:r>
        <w:rPr>
          <w:rFonts w:ascii="楷体_GB2312" w:hAnsi="楷体_GB2312" w:eastAsia="楷体_GB2312"/>
          <w:b w:val="0"/>
          <w:color w:val="000000"/>
          <w:sz w:val="32"/>
        </w:rPr>
        <w:t>（三）组织内控</w:t>
      </w:r>
    </w:p>
    <w:p>
      <w:pPr>
        <w:spacing w:lineRule="exact" w:line="600" w:before="0" w:after="0"/>
        <w:ind w:firstLine="420"/>
        <w:jc w:val="both"/>
      </w:pPr>
      <w:r>
        <w:rPr>
          <w:rFonts w:ascii="仿宋_GB2312" w:hAnsi="仿宋_GB2312" w:eastAsia="仿宋_GB2312"/>
          <w:b w:val="0"/>
          <w:color w:val="000000"/>
          <w:sz w:val="32"/>
        </w:rPr>
        <w:t>作为央企控股企业，建立较为完善的财务、审计、合规与内控体系，执行集团统一的风险管理与信息披露制度。</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工商登记参保人数约1,565人（总部及在泰基地口径，全国基地合计用工规模更大），拥有研发、生产、销售及职能管理团队，技术研发与质量管理人力储备充足。</w:t>
      </w:r>
    </w:p>
    <w:p>
      <w:pPr>
        <w:spacing w:lineRule="exact" w:line="600" w:before="120" w:after="120"/>
        <w:ind w:firstLine="420"/>
        <w:jc w:val="left"/>
      </w:pPr>
      <w:r>
        <w:rPr>
          <w:rFonts w:ascii="黑体" w:hAnsi="黑体" w:eastAsia="黑体"/>
          <w:b w:val="0"/>
          <w:color w:val="000000"/>
          <w:sz w:val="32"/>
        </w:rPr>
        <w:t>五、核心竞争力</w:t>
      </w:r>
    </w:p>
    <w:p>
      <w:pPr>
        <w:spacing w:lineRule="exact" w:line="600" w:before="120" w:after="120"/>
        <w:ind w:firstLine="420"/>
        <w:jc w:val="left"/>
      </w:pPr>
      <w:r>
        <w:rPr>
          <w:rFonts w:ascii="楷体_GB2312" w:hAnsi="楷体_GB2312" w:eastAsia="楷体_GB2312"/>
          <w:b w:val="0"/>
          <w:color w:val="000000"/>
          <w:sz w:val="32"/>
        </w:rPr>
        <w:t>（一）央企资源与信用壁垒</w:t>
      </w:r>
    </w:p>
    <w:p>
      <w:pPr>
        <w:spacing w:lineRule="exact" w:line="600" w:before="0" w:after="0"/>
        <w:ind w:firstLine="420"/>
        <w:jc w:val="both"/>
      </w:pPr>
      <w:r>
        <w:rPr>
          <w:rFonts w:ascii="仿宋_GB2312" w:hAnsi="仿宋_GB2312" w:eastAsia="仿宋_GB2312"/>
          <w:b w:val="0"/>
          <w:color w:val="000000"/>
          <w:sz w:val="32"/>
        </w:rPr>
        <w:t>背靠中国建材集团，资本实力、融资成本和品牌信用远超民营同行，具备并购整合与逆周期扩产能力。</w:t>
      </w:r>
    </w:p>
    <w:p>
      <w:pPr>
        <w:spacing w:lineRule="exact" w:line="600" w:before="120" w:after="120"/>
        <w:ind w:firstLine="420"/>
        <w:jc w:val="left"/>
      </w:pPr>
      <w:r>
        <w:rPr>
          <w:rFonts w:ascii="楷体_GB2312" w:hAnsi="楷体_GB2312" w:eastAsia="楷体_GB2312"/>
          <w:b w:val="0"/>
          <w:color w:val="000000"/>
          <w:sz w:val="32"/>
        </w:rPr>
        <w:t>（二）规模与成本壁垒</w:t>
      </w:r>
    </w:p>
    <w:p>
      <w:pPr>
        <w:spacing w:lineRule="exact" w:line="600" w:before="0" w:after="0"/>
        <w:ind w:firstLine="420"/>
        <w:jc w:val="both"/>
      </w:pPr>
      <w:r>
        <w:rPr>
          <w:rFonts w:ascii="仿宋_GB2312" w:hAnsi="仿宋_GB2312" w:eastAsia="仿宋_GB2312"/>
          <w:b w:val="0"/>
          <w:color w:val="000000"/>
          <w:sz w:val="32"/>
        </w:rPr>
        <w:t>约56家基地、25亿平方米产能、53%市占率形成显著规模效应；副产石膏循环利用降低原料成本。</w:t>
      </w:r>
    </w:p>
    <w:p>
      <w:pPr>
        <w:spacing w:lineRule="exact" w:line="600" w:before="120" w:after="120"/>
        <w:ind w:firstLine="420"/>
        <w:jc w:val="left"/>
      </w:pPr>
      <w:r>
        <w:rPr>
          <w:rFonts w:ascii="楷体_GB2312" w:hAnsi="楷体_GB2312" w:eastAsia="楷体_GB2312"/>
          <w:b w:val="0"/>
          <w:color w:val="000000"/>
          <w:sz w:val="32"/>
        </w:rPr>
        <w:t>（三）品牌壁垒</w:t>
      </w:r>
    </w:p>
    <w:p>
      <w:pPr>
        <w:spacing w:lineRule="exact" w:line="600" w:before="0" w:after="0"/>
        <w:ind w:firstLine="420"/>
        <w:jc w:val="both"/>
      </w:pPr>
      <w:r>
        <w:rPr>
          <w:rFonts w:ascii="仿宋_GB2312" w:hAnsi="仿宋_GB2312" w:eastAsia="仿宋_GB2312"/>
          <w:b w:val="0"/>
          <w:color w:val="000000"/>
          <w:sz w:val="32"/>
        </w:rPr>
        <w:t>"泰山"牌为制造业单项冠军、泰山品质认证产品，在工程与家装市场具备强品牌认知与议价能力。</w:t>
      </w:r>
    </w:p>
    <w:p>
      <w:pPr>
        <w:spacing w:lineRule="exact" w:line="600" w:before="120" w:after="120"/>
        <w:ind w:firstLine="420"/>
        <w:jc w:val="left"/>
      </w:pPr>
      <w:r>
        <w:rPr>
          <w:rFonts w:ascii="楷体_GB2312" w:hAnsi="楷体_GB2312" w:eastAsia="楷体_GB2312"/>
          <w:b w:val="0"/>
          <w:color w:val="000000"/>
          <w:sz w:val="32"/>
        </w:rPr>
        <w:t>（四）渠道与布局壁垒</w:t>
      </w:r>
    </w:p>
    <w:p>
      <w:pPr>
        <w:spacing w:lineRule="exact" w:line="600" w:before="0" w:after="0"/>
        <w:ind w:firstLine="420"/>
        <w:jc w:val="both"/>
      </w:pPr>
      <w:r>
        <w:rPr>
          <w:rFonts w:ascii="仿宋_GB2312" w:hAnsi="仿宋_GB2312" w:eastAsia="仿宋_GB2312"/>
          <w:b w:val="0"/>
          <w:color w:val="000000"/>
          <w:sz w:val="32"/>
        </w:rPr>
        <w:t>全国基地就近辐射，交付与服优势明显，新进入者难以短期复制全国网络。</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房地产与建筑装饰投资下行影响石膏板需求；行业产能过剩、价格竞争加剧。</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下游地产客户回款周期拉长、坏账风险上升；原料（石膏、能源）价格波动影响成本。</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财务未公开披露，建议核查应收与负债结构；地产链传导下需关注现金流质量。</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生产基地众多，环保（废气、固废）与安全生产合规管理面广，需持续投入。</w:t>
      </w:r>
    </w:p>
    <w:p>
      <w:pPr>
        <w:spacing w:lineRule="exact" w:line="600" w:before="120" w:after="120"/>
        <w:ind w:firstLine="420"/>
        <w:jc w:val="left"/>
      </w:pPr>
      <w:r>
        <w:rPr>
          <w:rFonts w:ascii="楷体_GB2312" w:hAnsi="楷体_GB2312" w:eastAsia="楷体_GB2312"/>
          <w:b w:val="0"/>
          <w:color w:val="000000"/>
          <w:sz w:val="32"/>
        </w:rPr>
        <w:t>（五）管理风险与应对措施</w:t>
      </w:r>
    </w:p>
    <w:p>
      <w:pPr>
        <w:spacing w:lineRule="exact" w:line="600" w:before="0" w:after="0"/>
        <w:ind w:firstLine="420"/>
        <w:jc w:val="both"/>
      </w:pPr>
      <w:r>
        <w:rPr>
          <w:rFonts w:ascii="仿宋_GB2312" w:hAnsi="仿宋_GB2312" w:eastAsia="仿宋_GB2312"/>
          <w:b w:val="0"/>
          <w:color w:val="000000"/>
          <w:sz w:val="32"/>
        </w:rPr>
        <w:t>集团化管控难度大，已通过标准化内控与信息化系统应对；持续推进绿色制造与产品升级以抵御周期。</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（一）融资痛点</w:t>
      </w:r>
    </w:p>
    <w:p>
      <w:pPr>
        <w:spacing w:lineRule="exact" w:line="600" w:before="0" w:after="0"/>
        <w:ind w:firstLine="420"/>
        <w:jc w:val="both"/>
      </w:pPr>
      <w:r>
        <w:rPr>
          <w:rFonts w:ascii="仿宋_GB2312" w:hAnsi="仿宋_GB2312" w:eastAsia="仿宋_GB2312"/>
          <w:b w:val="0"/>
          <w:color w:val="000000"/>
          <w:sz w:val="32"/>
        </w:rPr>
        <w:t>作为央企控股企业，其主体融资成本已较低，常规信贷需求不突出；但在产业链上下游（经销商、供应商）存在普惠金融与供应链金融协同空间。</w:t>
      </w:r>
    </w:p>
    <w:p>
      <w:pPr>
        <w:spacing w:lineRule="exact" w:line="600" w:before="120" w:after="120"/>
        <w:ind w:firstLine="420"/>
        <w:jc w:val="left"/>
      </w:pPr>
      <w:r>
        <w:rPr>
          <w:rFonts w:ascii="楷体_GB2312" w:hAnsi="楷体_GB2312" w:eastAsia="楷体_GB2312"/>
          <w:b w:val="0"/>
          <w:color w:val="000000"/>
          <w:sz w:val="32"/>
        </w:rPr>
        <w:t>（二）协同切入建议</w:t>
      </w:r>
    </w:p>
    <w:p>
      <w:pPr>
        <w:spacing w:lineRule="exact" w:line="600" w:before="0" w:after="0"/>
        <w:ind w:firstLine="420"/>
        <w:jc w:val="both"/>
      </w:pPr>
      <w:r>
        <w:rPr>
          <w:rFonts w:ascii="仿宋_GB2312" w:hAnsi="仿宋_GB2312" w:eastAsia="仿宋_GB2312"/>
          <w:b w:val="0"/>
          <w:color w:val="000000"/>
          <w:sz w:val="32"/>
        </w:rPr>
        <w:t>一是供应链金融：围绕泰山石膏对上游原料供应商、下游经销商的应收应付，提供反向保理与经销商存货融资；二是融资租赁：对基地设备技改与绿色产线升级提供直租；三是在合规前提下，山东投资可通过产业基金或战略合作参与其山东基地的产能优化与装配式建筑材料布局，服务山东装饰装配材料产业集群升级。</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泰山石膏是国内纸面石膏板绝对龙头、岱岳区装饰装配材料集群链主，央企背景、规模成本与品牌三重壁垒稳固，是山东投资在装饰装配材料赛道最具战略价值的合作标的之一。</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据行业趋势与"双碳"政策，装配式建筑与绿色建材需求提升，副产石膏循环利用契合循环经济方向；公司有望通过产品高端化与基地优化持续巩固领先优势。</w:t>
      </w:r>
    </w:p>
    <w:p>
      <w:pPr>
        <w:spacing w:lineRule="exact" w:line="600" w:before="120" w:after="120"/>
        <w:ind w:firstLine="420"/>
        <w:jc w:val="left"/>
      </w:pPr>
      <w:r>
        <w:rPr>
          <w:rFonts w:ascii="楷体_GB2312" w:hAnsi="楷体_GB2312" w:eastAsia="楷体_GB2312"/>
          <w:b w:val="0"/>
          <w:color w:val="000000"/>
          <w:sz w:val="32"/>
        </w:rPr>
        <w:t>（三）建议</w:t>
      </w:r>
    </w:p>
    <w:p>
      <w:pPr>
        <w:spacing w:lineRule="exact" w:line="600" w:before="0" w:after="0"/>
        <w:ind w:firstLine="420"/>
        <w:jc w:val="both"/>
      </w:pPr>
      <w:r>
        <w:rPr>
          <w:rFonts w:ascii="仿宋_GB2312" w:hAnsi="仿宋_GB2312" w:eastAsia="仿宋_GB2312"/>
          <w:b w:val="0"/>
          <w:color w:val="000000"/>
          <w:sz w:val="32"/>
        </w:rPr>
        <w:t>建议山东投资以供应链金融与产业基金合作为主线，依托泰山石膏链主地位，带动岱岳区装饰装配材料产业集群上下游中小微企业协同发展。</w:t>
      </w:r>
    </w:p>
    <w:p>
      <w:pPr>
        <w:spacing w:lineRule="exact" w:line="600" w:before="0" w:after="0"/>
        <w:jc w:val="left"/>
      </w:pPr>
      <w:r>
        <w:rPr>
          <w:rFonts w:ascii="仿宋_GB2312" w:hAnsi="仿宋_GB2312" w:eastAsia="仿宋_GB2312"/>
          <w:b w:val="0"/>
          <w:color w:val="000000"/>
          <w:sz w:val="28"/>
        </w:rPr>
        <w:t>数据来源说明：国家企业信用信息公示系统/天眼查（工商、股权、参保）、中国建材集团及泰山石膏官网、泰山品质认证与制造业单项冠军公开信息、权威媒体报道（营收、产能、市占率）。财务数据为非上市企业公开报道口径，已注明并如实标注未审计。</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