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山东省济南市钢城区精密锻件产业集群</w:t>
      </w:r>
    </w:p>
    <w:p>
      <w:pPr>
        <w:spacing w:lineRule="exact" w:line="600" w:before="240" w:after="240"/>
        <w:ind w:firstLine="0"/>
        <w:jc w:val="center"/>
      </w:pPr>
      <w:r>
        <w:rPr>
          <w:rFonts w:ascii="方正小标宋简体" w:hAnsi="方正小标宋简体" w:eastAsia="方正小标宋简体"/>
          <w:b w:val="0"/>
          <w:color w:val="000000"/>
          <w:sz w:val="44"/>
        </w:rPr>
        <w:t>山东汇锋传动股份有限公司企业分析报告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启信宝、公司官网及权威媒体（大众日报、经济导报、同花顺、雪球、中国化工报等）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汇锋传动股份有限公司成立于2006年1月13日，曾用名莱芜市汇锋汽车轴齿有限公司，法定代表人为任启华，统一社会信用代码9137000078614534XE，企业类型为股份有限公司（非上市、自然人投资或控股），注册资本20,043万元（爱企查披露实缴15,000万元；公司官网早年披露注册资金1.83亿元，口径差异源于历次增资），注册地址位于山东省济南市钢城经济开发区华圣路9号，登记机关为济南市钢城区市场监督管理局，经营状态为存续。人员规模100—499人，2025年年报参保人数122人（公司官网披露员工1,000余人，口径差异或因统计时点及子公司并表范围）。</w:t>
      </w:r>
    </w:p>
    <w:p>
      <w:pPr>
        <w:spacing w:lineRule="exact" w:line="600" w:before="0" w:after="0"/>
        <w:ind w:firstLine="420"/>
        <w:jc w:val="both"/>
      </w:pPr>
      <w:r>
        <w:rPr>
          <w:rFonts w:ascii="仿宋_GB2312" w:hAnsi="仿宋_GB2312" w:eastAsia="仿宋_GB2312"/>
          <w:b w:val="0"/>
          <w:color w:val="000000"/>
          <w:sz w:val="32"/>
        </w:rPr>
        <w:t>股权结构：公司为自然人投资或控股的非上市公众公司。控股股东、实际控制人为任启华，天眼查显示其直接持股约58.67%；2024年披露的IPO辅导公告显示任启华持股48.09%。重要股东包括济南市钢城区财政局旗下的山东汶源投资控股集团有限公司（持股约20.456%，国资股东），以及莱芜创业投资有限公司、济南同科晟华创业投资合伙企业（有限合伙）、济南经发产业投资基金合伙企业（有限合伙）等机构投资人，历史上曾引入九鼎系等财务投资人。公司无单一国有控股股东，属民营控股、国资参股的混合所有制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下设山东温岭精锻科技有限公司（持股93.73%，精密锻造核心资产）、山东汇锋轨道交通装备有限公司、山东海纳精密工业有限公司、山东亨格尔智能科技有限公司、山东豪沃森智能科技有限公司等5家主要子公司。生产布局形成三大厂区：以精锻成形为主的温岭工业园、以智能制造为主的汇锋传动产业园、以轨道交通制造为主的轨道交通产业园，构建集团化、专业化制造架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莱芜市汇锋汽车轴齿有限公司成立于2006年，长期深耕汽车传动系统精密部件；2017年9月与中泰证券签订IPO辅导协议，启动上市进程；2023年12月更换辅导机构，与国融证券签署辅导协议，IPO进入新阶段，截至2025年第四季度已披露第八期辅导进展报告。辅导报告关注到公司2024年年末应收账款余额仍较高、经营业绩近年有所波动。2026年1月，公司及多家子公司被披露存在欠税情形（涉及契税、房产税、城镇土地使用税、印花税及增值税等），引发市场关注。</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专注于传动系统高端精密部件研发、设计与制造的国家级专精特新重点“小巨人”企业。公司构建覆盖传动系统核心部件的六大产品体系：螺旋锥齿轮、传动轴、新能源电驱系统核心部件、内胀桥壳、高铁车轴、高铁车轮，产品广泛应用于汽车、轨道交通、风电、航空、船舶、高端机械等多个领域，在国内商用车齿轮行业占有主导地位。</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汽车传动系统精密部件为核心，形成螺旋锥齿轮、传动轴、桥壳、新能源电驱部件、高铁车轴/车轮等六大产品体系，并由汽车向轨道交通、风电、工程机械、船舶、航空等多领域延伸；公司由单一部件供应商向系统方案商演进。公开资料未披露分产品收入占比，但从产能与业务结构看，商用车驱动桥螺旋锥齿轮为规模与收入主体。</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包括汽车螺旋锥齿轮（近齿形、联体系列）、传动轴、半轴、驱动桥壳、发动机齿轮、凸缘、行星架、新能源电驱核心部件、内胀桥壳、高铁车轴与高铁车轮等。在联体齿、近齿形、风电输出轴、内胀桥壳等核心产品上，公司率先实现一次成型、近净成形工艺产业化应用；轨道交通领域实现国内首次“以锻代铸”突破，成功开发公铁两用轨道车轮，并成为海外客户独家指定供应商；中低空轨道系列产品为国内首家轻量化轨道总成供应商；新能源领域采用冷温锻精密成形工艺，以空心半轴为代表践行轻量化、绿色化。</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与中国一汽、东风汽车、中国重汽、陕西重汽、上汽、南高齿集团等国内头部主机厂，以及美国德纳（Dana）、美驰（Meritor）、IPC等国际知名企业建立长期战略合作关系；公开招投标与客户信息显示其向东风德纳车桥、汉德车桥、长春汇锋新能源装备等批量供货。客户结构以商用车与轨道交通头部企业为主，质量门槛高、粘性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优质合金钢、碳素钢等金属材料及锻件毛坯，价格随钢铁与大宗商品价格波动；关键设备与刀具部分依赖进口。公司具备从锻造、热处理到机加工、铣齿、装配的全链条工艺能力，模具自制率较高，有利于成本与交期控制。</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据行业公开资料，公司具备年产12万吨锻件、汽车驱动桥螺旋锥齿轮150万套的精加工生产能力，年实现产值约12亿元、利税约2.5亿元，占地约560亩，职工约1,000人，其中专业技术研发人员200余人。资质方面：国家级专精特新“小巨人”企业、国家级绿色工厂、中国锻件10强企业、山东省制造业“单项冠军”示范企业、山东省“隐形冠军”企业；通过IATF16949：2016、ISO14001、OHSAS18001、ISO50001能源管理体系及知识产权管理体系认证；主导制定行业标准《螺旋锥齿轮精密热锻件 通用技术条件》，多次荣获中国锻压协会“神工奖”。</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主机厂直销与战略合作配套为主，配套中国一汽、东风、重汽、陕汽等整车及车桥企业；出口业务占比据行业资料约30%以上，产品出口欧美、东南亚等30多个国家和地区，设有专业外贸团队，符合欧盟CE、美国SAE等标准，提供一站式出口服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行业公开资料，公司螺旋锥齿轮（以子公司温岭精锻口径）国内市场占有率达61%；主导产品驱动桥螺旋锥齿轮已实现专业化、规模化、精益化生产，在国内商用车齿轮行业占据主导地位。集团年产值约12亿元（公开报道口径）。非上市属性下，公司近三年完整财务数据未公开披露，仅于IPO辅导材料中披露应收账款较高、业绩波动等情况。</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山东汇锋传动为非上市股份有限公司，近三年完整财务报表未公开披露（仅在IPO辅导阶段披露部分经营信息）；下表列示公开可获取的代表性数据，单位：万元，不作财务数据编造。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20,043（实缴约15,000）</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2006-01-13</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约122人（官网称1,000余人）</w:t>
            </w:r>
          </w:p>
        </w:tc>
      </w:tr>
      <w:tr>
        <w:tc>
          <w:tcPr>
            <w:tcW w:type="dxa" w:w="2551"/>
          </w:tcPr>
          <w:p>
            <w:pPr>
              <w:spacing w:lineRule="exact" w:line="600"/>
              <w:jc w:val="center"/>
            </w:pPr>
            <w:r/>
            <w:r>
              <w:rPr>
                <w:rFonts w:ascii="仿宋_GB2312" w:hAnsi="仿宋_GB2312" w:eastAsia="仿宋_GB2312"/>
                <w:b w:val="0"/>
                <w:color w:val="000000"/>
                <w:sz w:val="32"/>
              </w:rPr>
              <w:t>年产锻件能力</w:t>
            </w:r>
          </w:p>
        </w:tc>
        <w:tc>
          <w:tcPr>
            <w:tcW w:type="dxa" w:w="6236"/>
          </w:tcPr>
          <w:p>
            <w:pPr>
              <w:spacing w:lineRule="exact" w:line="600"/>
              <w:jc w:val="center"/>
            </w:pPr>
            <w:r/>
            <w:r>
              <w:rPr>
                <w:rFonts w:ascii="仿宋_GB2312" w:hAnsi="仿宋_GB2312" w:eastAsia="仿宋_GB2312"/>
                <w:b w:val="0"/>
                <w:color w:val="000000"/>
                <w:sz w:val="32"/>
              </w:rPr>
              <w:t>约12万吨</w:t>
            </w:r>
          </w:p>
        </w:tc>
      </w:tr>
      <w:tr>
        <w:tc>
          <w:tcPr>
            <w:tcW w:type="dxa" w:w="2551"/>
          </w:tcPr>
          <w:p>
            <w:pPr>
              <w:spacing w:lineRule="exact" w:line="600"/>
              <w:jc w:val="center"/>
            </w:pPr>
            <w:r/>
            <w:r>
              <w:rPr>
                <w:rFonts w:ascii="仿宋_GB2312" w:hAnsi="仿宋_GB2312" w:eastAsia="仿宋_GB2312"/>
                <w:b w:val="0"/>
                <w:color w:val="000000"/>
                <w:sz w:val="32"/>
              </w:rPr>
              <w:t>螺旋锥齿轮产能</w:t>
            </w:r>
          </w:p>
        </w:tc>
        <w:tc>
          <w:tcPr>
            <w:tcW w:type="dxa" w:w="6236"/>
          </w:tcPr>
          <w:p>
            <w:pPr>
              <w:spacing w:lineRule="exact" w:line="600"/>
              <w:jc w:val="center"/>
            </w:pPr>
            <w:r/>
            <w:r>
              <w:rPr>
                <w:rFonts w:ascii="仿宋_GB2312" w:hAnsi="仿宋_GB2312" w:eastAsia="仿宋_GB2312"/>
                <w:b w:val="0"/>
                <w:color w:val="000000"/>
                <w:sz w:val="32"/>
              </w:rPr>
              <w:t>约150万套/年</w:t>
            </w:r>
          </w:p>
        </w:tc>
      </w:tr>
      <w:tr>
        <w:tc>
          <w:tcPr>
            <w:tcW w:type="dxa" w:w="2551"/>
          </w:tcPr>
          <w:p>
            <w:pPr>
              <w:spacing w:lineRule="exact" w:line="600"/>
              <w:jc w:val="center"/>
            </w:pPr>
            <w:r/>
            <w:r>
              <w:rPr>
                <w:rFonts w:ascii="仿宋_GB2312" w:hAnsi="仿宋_GB2312" w:eastAsia="仿宋_GB2312"/>
                <w:b w:val="0"/>
                <w:color w:val="000000"/>
                <w:sz w:val="32"/>
              </w:rPr>
              <w:t>年产值（集团口径）</w:t>
            </w:r>
          </w:p>
        </w:tc>
        <w:tc>
          <w:tcPr>
            <w:tcW w:type="dxa" w:w="6236"/>
          </w:tcPr>
          <w:p>
            <w:pPr>
              <w:spacing w:lineRule="exact" w:line="600"/>
              <w:jc w:val="center"/>
            </w:pPr>
            <w:r/>
            <w:r>
              <w:rPr>
                <w:rFonts w:ascii="仿宋_GB2312" w:hAnsi="仿宋_GB2312" w:eastAsia="仿宋_GB2312"/>
                <w:b w:val="0"/>
                <w:color w:val="000000"/>
                <w:sz w:val="32"/>
              </w:rPr>
              <w:t>约120,000</w:t>
            </w:r>
          </w:p>
        </w:tc>
      </w:tr>
      <w:tr>
        <w:tc>
          <w:tcPr>
            <w:tcW w:type="dxa" w:w="2551"/>
          </w:tcPr>
          <w:p>
            <w:pPr>
              <w:spacing w:lineRule="exact" w:line="600"/>
              <w:jc w:val="center"/>
            </w:pPr>
            <w:r/>
            <w:r>
              <w:rPr>
                <w:rFonts w:ascii="仿宋_GB2312" w:hAnsi="仿宋_GB2312" w:eastAsia="仿宋_GB2312"/>
                <w:b w:val="0"/>
                <w:color w:val="000000"/>
                <w:sz w:val="32"/>
              </w:rPr>
              <w:t>螺旋锥齿轮市占率</w:t>
            </w:r>
          </w:p>
        </w:tc>
        <w:tc>
          <w:tcPr>
            <w:tcW w:type="dxa" w:w="6236"/>
          </w:tcPr>
          <w:p>
            <w:pPr>
              <w:spacing w:lineRule="exact" w:line="600"/>
              <w:jc w:val="center"/>
            </w:pPr>
            <w:r/>
            <w:r>
              <w:rPr>
                <w:rFonts w:ascii="仿宋_GB2312" w:hAnsi="仿宋_GB2312" w:eastAsia="仿宋_GB2312"/>
                <w:b w:val="0"/>
                <w:color w:val="000000"/>
                <w:sz w:val="32"/>
              </w:rPr>
              <w:t>约61%（公开报道口径）</w:t>
            </w:r>
          </w:p>
        </w:tc>
      </w:tr>
      <w:tr>
        <w:tc>
          <w:tcPr>
            <w:tcW w:type="dxa" w:w="2551"/>
          </w:tcPr>
          <w:p>
            <w:pPr>
              <w:spacing w:lineRule="exact" w:line="600"/>
              <w:jc w:val="center"/>
            </w:pPr>
            <w:r/>
            <w:r>
              <w:rPr>
                <w:rFonts w:ascii="仿宋_GB2312" w:hAnsi="仿宋_GB2312" w:eastAsia="仿宋_GB2312"/>
                <w:b w:val="0"/>
                <w:color w:val="000000"/>
                <w:sz w:val="32"/>
              </w:rPr>
              <w:t>归母净利润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为非上市企业，盈利数据未公开披露。作为国家级“小巨人”与商用车齿轮主导企业，产品附加值较高，但IPO辅导报告提及公司业绩近年有所波动、整体经营规模及业绩相对较小，需关注商用车行业周期对盈利的影响。</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无公开资产数据。公司作为重资产精密锻造企业，固定资产（锻造压机、机加工及热处理设备）占地较大；集团占地约560亩、职工约1,000人，资产质量总体扎实。</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无公开负债数据。IPO辅导报告重点提示公司2024年年末应收账款余额较高、收回周期对财务流动性影响较大；建议授信前核查有息负债、对外担保及关联方资金往来。</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无公开现金流数据。应收账款规模较大且回款周期长是辅导机构重点关注项，提示经营性现金流易受下游整车厂回款节奏影响，需动态跟踪。</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山东及全国精密锻件行业，汇锋传动以“商用车齿轮主导地位+螺旋锥齿轮约61%市占率+国家级小巨人+绿色工厂+单项冠军”处于第一梯队；与省内同类企业相比，技术、资质与客户层级突出，但财务透明度与现金流管理为相对短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公司为股份有限公司，设董事会、监事会及经营管理层，现处于IPO辅导阶段，治理逐步规范；实际控制人任启华任董事长兼总经理，国资股东山东汶源投资控股集团派驻代表，重大事项按股份公司规范决策。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法定代表人、董事长兼总经理任启华，为公司创始人及实际控制人，从业经历贯穿公司发展全程；管理层多由核心自然人股东与职业经理人组成，利益绑定较强。</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按IATF16949、ISO14001、OHSAS18001、ISO50001及知识产权管理体系建立内控与质量体系；全链条工艺与模具自制强化过程控制。需关注2026年1月披露的欠税事项对合规形象的短期影响。</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官网披露职工约1,000人、专业技术研发人员200余人；工商参保约122人（口径差异或因统计时点）。作为高新技术企业，研发与技能人才培养体系较完善。</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工艺技术壁垒：在联体齿、近齿形、近净成形、以锻代铸、冷温锻等领域实现产业化突破，多项成果填补国际技术与产业空白，多次获中国锻压协会“神工奖”，主导制定螺旋锥齿轮精密热锻件行业标准。二是市场地位与客户资源：国内商用车齿轮行业主导地位，螺旋锥齿轮市占率约61%，绑定一汽、东风、重汽、陕汽、南高齿及德纳、美驰、IPC等国内外头部客户。三是资质与品牌：国家级专精特新“小巨人”、国家级绿色工厂、中国锻件10强、山东省单项冠军与隐形冠军。四是集团化协同：控股温岭精锻等5家子公司，覆盖精锻、智能制造、轨道交通三大产业板块。五是全产业链工艺：锻造—热处理—机加工—铣齿—装配全链条与高模具自制率，保障质量、成本与交期。</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应收账款与现金流风险（重点）：IPO辅导报告明确提示2024年年末应收账款余额较高、收回周期对流动性影响大，是主要财务风险点；应对需强化年末收款与信用管理。二是经营业绩波动风险：辅导报告提及公司业绩近年有所波动、规模相对较小，受商用车行业周期与宏观需求影响明显。三是欠税与合规风险：2026年1月公司及多家子公司被披露存在契税、房产税、城镇土地使用税、印花税及增值税等欠税，需关注税务合规与资金安排。四是行业周期风险：商用车、工程机械、风电等下游周期性较强，需求波动直接传导至订单。五是涉诉与法律风险提示：公开信息显示存在一定立案、开庭及经营纠纷记录，需强化合同与应收账款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一汽、东风、重汽、陕汽等头部主机厂的应收账款账期较长、规模较大，可开展应收账款保理，盘活资金、改善现金流，契合公司应收账款高的痛点。供应链金融：作为集群链主，可为核心上游原料与设备供应商提供订单融资、存货质押等供应链金融服务。融资租赁：精密锻造压机、机加工及热处理设备资本开支大，适合以新购设备直租/回租支撑技改升级。小贷：面向中小配套供应商提供短期周转贷款。山东投资可优先以“核心企业应收保理+设备融资租赁”组合切入，并关联IPO辅导进展动态评估信用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汇锋传动是钢城区精密锻件产业集群的链主企业与全国商用车齿轮领域龙头，技术工艺、市场地位、客户资源与资质品牌突出，但非上市导致财务透明度有限，且存在应收账款高、业绩波动及欠税等需关注事项。发展展望：据行业趋势与公司IPO规划，随着新能源汽车电驱部件、轨道交通轻量化与风电需求增长，公司有望凭借近净成形与以锻代铸技术持续扩大高端精密部件份额。建议：一是以核心客户应收保理与设备融资租赁切入，控制额度并设增信；二是授信前要求补充规范财务资料、评估应收账款质量与回款节奏；三是关注欠税整改进展与IPO辅导动态，建立信用监测；四是发挥链主地位，联动供应链金融服务上下游中小企业形成批量资产。</w:t>
      </w:r>
    </w:p>
    <w:p>
      <w:pPr>
        <w:spacing w:lineRule="exact" w:line="600" w:before="0" w:after="0"/>
        <w:jc w:val="left"/>
      </w:pPr>
      <w:r>
        <w:rPr>
          <w:rFonts w:ascii="仿宋_GB2312" w:hAnsi="仿宋_GB2312" w:eastAsia="仿宋_GB2312"/>
          <w:b w:val="0"/>
          <w:color w:val="000000"/>
          <w:sz w:val="28"/>
        </w:rPr>
        <w:t>数据来源说明：天眼查/爱企查/企查查（工商、股权、资质、参保）、公司官网 sdhfcd.com（公司简介、产品、产能、社会责任报告）、中国锻压协会/行业展会资料（中国锻件10强、神工奖）、经济导报/大众日报（IPO辅导第八期、欠税披露）、windzx.com行业概览、公开招投标与客户信息。近三年完整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