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山东省济南市钢城区精密锻件产业集群</w:t>
      </w:r>
    </w:p>
    <w:p>
      <w:pPr>
        <w:spacing w:lineRule="exact" w:line="600" w:before="240" w:after="240"/>
        <w:ind w:firstLine="0"/>
        <w:jc w:val="center"/>
      </w:pPr>
      <w:r>
        <w:rPr>
          <w:rFonts w:ascii="方正小标宋简体" w:hAnsi="方正小标宋简体" w:eastAsia="方正小标宋简体"/>
          <w:b w:val="0"/>
          <w:color w:val="000000"/>
          <w:sz w:val="44"/>
        </w:rPr>
        <w:t>山东温岭精锻科技有限公司企业分析报告</w:t>
      </w:r>
    </w:p>
    <w:p>
      <w:pPr>
        <w:spacing w:lineRule="exact" w:line="600" w:before="0" w:after="0"/>
        <w:jc w:val="left"/>
      </w:pPr>
      <w:r>
        <w:rPr>
          <w:rFonts w:ascii="仿宋_GB2312" w:hAnsi="仿宋_GB2312" w:eastAsia="仿宋_GB2312"/>
          <w:b w:val="0"/>
          <w:color w:val="000000"/>
          <w:sz w:val="28"/>
        </w:rPr>
        <w:t>（本报告数据来源于公司年报/半年报、交易所及港交所公告、巨潮资讯网、东方财富、天眼查/爱企查/企查查/启信宝、公司官网及权威媒体（大众日报、经济导报、同花顺、雪球、中国化工报等）等公开渠道，统计时点截至最新披露信息；非上市企业未公开披露财务数据已如实标注，未作任何编造。报告供山东省投资有限公司业务参考之用。）</w:t>
      </w:r>
    </w:p>
    <w:p>
      <w:pPr>
        <w:spacing w:lineRule="exact" w:line="600" w:before="120" w:after="120"/>
        <w:ind w:firstLine="420"/>
        <w:jc w:val="left"/>
      </w:pPr>
      <w:r>
        <w:rPr>
          <w:rFonts w:ascii="黑体" w:hAnsi="黑体" w:eastAsia="黑体"/>
          <w:b w:val="0"/>
          <w:color w:val="000000"/>
          <w:sz w:val="32"/>
        </w:rPr>
        <w:t>一、公司基本概况</w:t>
      </w:r>
    </w:p>
    <w:p>
      <w:pPr>
        <w:spacing w:lineRule="exact" w:line="600" w:before="120" w:after="120"/>
        <w:ind w:firstLine="420"/>
        <w:jc w:val="left"/>
      </w:pPr>
      <w:r>
        <w:rPr>
          <w:rFonts w:ascii="楷体_GB2312" w:hAnsi="楷体_GB2312" w:eastAsia="楷体_GB2312"/>
          <w:b w:val="0"/>
          <w:color w:val="000000"/>
          <w:sz w:val="32"/>
        </w:rPr>
        <w:t>（一）工商信息</w:t>
      </w:r>
    </w:p>
    <w:p>
      <w:pPr>
        <w:spacing w:lineRule="exact" w:line="600" w:before="0" w:after="0"/>
        <w:ind w:firstLine="420"/>
        <w:jc w:val="both"/>
      </w:pPr>
      <w:r>
        <w:rPr>
          <w:rFonts w:ascii="仿宋_GB2312" w:hAnsi="仿宋_GB2312" w:eastAsia="仿宋_GB2312"/>
          <w:b w:val="0"/>
          <w:color w:val="000000"/>
          <w:sz w:val="32"/>
        </w:rPr>
        <w:t>山东温岭精锻科技有限公司成立于2003年10月28日，曾用名莱芜市温岭精锻科技有限公司、莱芜市温岭锻造有限公司，法定代表人为任启华，统一社会信用代码91371200755441402H，企业类型为其他有限责任公司，注册资本12,802.4878万元（实缴12,802.4878万元），注册地址位于济南市钢城区里辛工业园温岭路1号1幢，登记机关为济南市钢城区市场监督管理局，经营状态为存续。人员规模200—299人，2025年年报参保人数237人。</w:t>
      </w:r>
    </w:p>
    <w:p>
      <w:pPr>
        <w:spacing w:lineRule="exact" w:line="600" w:before="0" w:after="0"/>
        <w:ind w:firstLine="420"/>
        <w:jc w:val="both"/>
      </w:pPr>
      <w:r>
        <w:rPr>
          <w:rFonts w:ascii="仿宋_GB2312" w:hAnsi="仿宋_GB2312" w:eastAsia="仿宋_GB2312"/>
          <w:b w:val="0"/>
          <w:color w:val="000000"/>
          <w:sz w:val="32"/>
        </w:rPr>
        <w:t>股权结构：控股股东为山东汇锋传动股份有限公司（持股93.7318%）；另一股东为山东财金卓工投资发展中心（有限合伙）（持股6.2682%，其执行事务合伙人山东省财金资本管理有限公司为山东省属国资背景）。实际控制人为任启华（穿透后持股约42%—55%）。公司属民营控股、省属国资参股的精密锻造企业，是汇锋传动集团体系内的核心制造资产。</w:t>
      </w:r>
    </w:p>
    <w:p>
      <w:pPr>
        <w:spacing w:lineRule="exact" w:line="600" w:before="120" w:after="120"/>
        <w:ind w:firstLine="420"/>
        <w:jc w:val="left"/>
      </w:pPr>
      <w:r>
        <w:rPr>
          <w:rFonts w:ascii="楷体_GB2312" w:hAnsi="楷体_GB2312" w:eastAsia="楷体_GB2312"/>
          <w:b w:val="0"/>
          <w:color w:val="000000"/>
          <w:sz w:val="32"/>
        </w:rPr>
        <w:t>（二）组织架构</w:t>
      </w:r>
    </w:p>
    <w:p>
      <w:pPr>
        <w:spacing w:lineRule="exact" w:line="600" w:before="0" w:after="0"/>
        <w:ind w:firstLine="420"/>
        <w:jc w:val="both"/>
      </w:pPr>
      <w:r>
        <w:rPr>
          <w:rFonts w:ascii="仿宋_GB2312" w:hAnsi="仿宋_GB2312" w:eastAsia="仿宋_GB2312"/>
          <w:b w:val="0"/>
          <w:color w:val="000000"/>
          <w:sz w:val="32"/>
        </w:rPr>
        <w:t>公司为汇锋传动集团核心子公司，设经理（任启华）、董事、监事（周子健）等治理岗位；业务涵盖汽车与轨道交通、风电、船舶等领域精密锻件研发制造，下设生产、研发、质量与销售体系，参股山东汇锋轨道交通装备有限公司（持股40%）。</w:t>
      </w:r>
    </w:p>
    <w:p>
      <w:pPr>
        <w:spacing w:lineRule="exact" w:line="600" w:before="120" w:after="120"/>
        <w:ind w:firstLine="420"/>
        <w:jc w:val="left"/>
      </w:pPr>
      <w:r>
        <w:rPr>
          <w:rFonts w:ascii="楷体_GB2312" w:hAnsi="楷体_GB2312" w:eastAsia="楷体_GB2312"/>
          <w:b w:val="0"/>
          <w:color w:val="000000"/>
          <w:sz w:val="32"/>
        </w:rPr>
        <w:t>（三）发展沿革</w:t>
      </w:r>
    </w:p>
    <w:p>
      <w:pPr>
        <w:spacing w:lineRule="exact" w:line="600" w:before="0" w:after="0"/>
        <w:ind w:firstLine="420"/>
        <w:jc w:val="both"/>
      </w:pPr>
      <w:r>
        <w:rPr>
          <w:rFonts w:ascii="仿宋_GB2312" w:hAnsi="仿宋_GB2312" w:eastAsia="仿宋_GB2312"/>
          <w:b w:val="0"/>
          <w:color w:val="000000"/>
          <w:sz w:val="32"/>
        </w:rPr>
        <w:t>公司始建于2003年（原名莱芜市温岭锻造有限公司），长期专注传动系统高端精密部件；作为汇锋传动体系精锻成形核心基地，逐步建成温岭工业园；通过第三批国家级专精特新“小巨人”企业复审，并获评国家级绿色工厂、国家高新技术企业、山东省制造业“单项冠军”示范企业、山东省中小企业“隐形冠军”企业等。2026年1月，公司被披露存在增值税、企业所得税等多项欠税情形。</w:t>
      </w:r>
    </w:p>
    <w:p>
      <w:pPr>
        <w:spacing w:lineRule="exact" w:line="600" w:before="120" w:after="120"/>
        <w:ind w:firstLine="420"/>
        <w:jc w:val="left"/>
      </w:pPr>
      <w:r>
        <w:rPr>
          <w:rFonts w:ascii="楷体_GB2312" w:hAnsi="楷体_GB2312" w:eastAsia="楷体_GB2312"/>
          <w:b w:val="0"/>
          <w:color w:val="000000"/>
          <w:sz w:val="32"/>
        </w:rPr>
        <w:t>（四）企业定位与主营业务</w:t>
      </w:r>
    </w:p>
    <w:p>
      <w:pPr>
        <w:spacing w:lineRule="exact" w:line="600" w:before="0" w:after="0"/>
        <w:ind w:firstLine="420"/>
        <w:jc w:val="both"/>
      </w:pPr>
      <w:r>
        <w:rPr>
          <w:rFonts w:ascii="仿宋_GB2312" w:hAnsi="仿宋_GB2312" w:eastAsia="仿宋_GB2312"/>
          <w:b w:val="0"/>
          <w:color w:val="000000"/>
          <w:sz w:val="32"/>
        </w:rPr>
        <w:t>企业定位为专业从事传动系统高端精密部件研发和制造的国家高新技术企业，是汇锋传动集团精密锻造主平台。主营业务为锻件及粉末冶金制品制造与销售、汽车零部件及配件制造与研发、金属材料销售、货物及技术进出口；产品覆盖汽车、轨道交通、风电、船舶等多个领域。</w:t>
      </w:r>
    </w:p>
    <w:p>
      <w:pPr>
        <w:spacing w:lineRule="exact" w:line="600" w:before="120" w:after="120"/>
        <w:ind w:firstLine="420"/>
        <w:jc w:val="left"/>
      </w:pPr>
      <w:r>
        <w:rPr>
          <w:rFonts w:ascii="黑体" w:hAnsi="黑体" w:eastAsia="黑体"/>
          <w:b w:val="0"/>
          <w:color w:val="000000"/>
          <w:sz w:val="32"/>
        </w:rPr>
        <w:t>二、业务层面分析</w:t>
      </w:r>
    </w:p>
    <w:p>
      <w:pPr>
        <w:spacing w:lineRule="exact" w:line="600" w:before="120" w:after="120"/>
        <w:ind w:firstLine="420"/>
        <w:jc w:val="left"/>
      </w:pPr>
      <w:r>
        <w:rPr>
          <w:rFonts w:ascii="楷体_GB2312" w:hAnsi="楷体_GB2312" w:eastAsia="楷体_GB2312"/>
          <w:b w:val="0"/>
          <w:color w:val="000000"/>
          <w:sz w:val="32"/>
        </w:rPr>
        <w:t>（一）业务结构与收入构成</w:t>
      </w:r>
    </w:p>
    <w:p>
      <w:pPr>
        <w:spacing w:lineRule="exact" w:line="600" w:before="0" w:after="0"/>
        <w:ind w:firstLine="420"/>
        <w:jc w:val="both"/>
      </w:pPr>
      <w:r>
        <w:rPr>
          <w:rFonts w:ascii="仿宋_GB2312" w:hAnsi="仿宋_GB2312" w:eastAsia="仿宋_GB2312"/>
          <w:b w:val="0"/>
          <w:color w:val="000000"/>
          <w:sz w:val="32"/>
        </w:rPr>
        <w:t>业务以汽车驱动桥螺旋锥齿轮与精密锻件为核心，并向轨道交通部件、工程机械部件、风电部件延伸，形成“精锻齿轮+传动轴+桥壳+轨交车轮”多元结构；公司未公开披露分产品收入占比，螺旋锥齿轮为规模主体。</w:t>
      </w:r>
    </w:p>
    <w:p>
      <w:pPr>
        <w:spacing w:lineRule="exact" w:line="600" w:before="120" w:after="120"/>
        <w:ind w:firstLine="420"/>
        <w:jc w:val="left"/>
      </w:pPr>
      <w:r>
        <w:rPr>
          <w:rFonts w:ascii="楷体_GB2312" w:hAnsi="楷体_GB2312" w:eastAsia="楷体_GB2312"/>
          <w:b w:val="0"/>
          <w:color w:val="000000"/>
          <w:sz w:val="32"/>
        </w:rPr>
        <w:t>（二）主要产品与服务</w:t>
      </w:r>
    </w:p>
    <w:p>
      <w:pPr>
        <w:spacing w:lineRule="exact" w:line="600" w:before="0" w:after="0"/>
        <w:ind w:firstLine="420"/>
        <w:jc w:val="both"/>
      </w:pPr>
      <w:r>
        <w:rPr>
          <w:rFonts w:ascii="仿宋_GB2312" w:hAnsi="仿宋_GB2312" w:eastAsia="仿宋_GB2312"/>
          <w:b w:val="0"/>
          <w:color w:val="000000"/>
          <w:sz w:val="32"/>
        </w:rPr>
        <w:t>主导产品包括高精度螺旋锥齿轮（440/469/400/485等近齿形、联体系列）、传动轴与变速器轴、驱动桥壳、发动机齿轮、凸缘、行星架、轨道车轮、轨道交通后盖、弹簧夹板、高空车轮、上心盘等。具备年产12万吨锻件、1,000万支传动轴和变速器轴、汽车驱动桥螺旋锥齿轮150万套的加工生产能力。</w:t>
      </w:r>
    </w:p>
    <w:p>
      <w:pPr>
        <w:spacing w:lineRule="exact" w:line="600" w:before="120" w:after="120"/>
        <w:ind w:firstLine="420"/>
        <w:jc w:val="left"/>
      </w:pPr>
      <w:r>
        <w:rPr>
          <w:rFonts w:ascii="楷体_GB2312" w:hAnsi="楷体_GB2312" w:eastAsia="楷体_GB2312"/>
          <w:b w:val="0"/>
          <w:color w:val="000000"/>
          <w:sz w:val="32"/>
        </w:rPr>
        <w:t>（三）客户分析</w:t>
      </w:r>
    </w:p>
    <w:p>
      <w:pPr>
        <w:spacing w:lineRule="exact" w:line="600" w:before="0" w:after="0"/>
        <w:ind w:firstLine="420"/>
        <w:jc w:val="both"/>
      </w:pPr>
      <w:r>
        <w:rPr>
          <w:rFonts w:ascii="仿宋_GB2312" w:hAnsi="仿宋_GB2312" w:eastAsia="仿宋_GB2312"/>
          <w:b w:val="0"/>
          <w:color w:val="000000"/>
          <w:sz w:val="32"/>
        </w:rPr>
        <w:t>公司先后与中国一汽、东风德纳、中国重汽、美国美驰（Meritor）、美国IPC等国内外知名企业建立长期稳定合作；工程机械系列产品为徐工、临工、山推、厦工、柳工、雷沃、合力叉车等主机厂配套。客户覆盖商用车、工程机械、轨道交通与风电等多个高端制造领域。</w:t>
      </w:r>
    </w:p>
    <w:p>
      <w:pPr>
        <w:spacing w:lineRule="exact" w:line="600" w:before="120" w:after="120"/>
        <w:ind w:firstLine="420"/>
        <w:jc w:val="left"/>
      </w:pPr>
      <w:r>
        <w:rPr>
          <w:rFonts w:ascii="楷体_GB2312" w:hAnsi="楷体_GB2312" w:eastAsia="楷体_GB2312"/>
          <w:b w:val="0"/>
          <w:color w:val="000000"/>
          <w:sz w:val="32"/>
        </w:rPr>
        <w:t>（四）供应商与采购</w:t>
      </w:r>
    </w:p>
    <w:p>
      <w:pPr>
        <w:spacing w:lineRule="exact" w:line="600" w:before="0" w:after="0"/>
        <w:ind w:firstLine="420"/>
        <w:jc w:val="both"/>
      </w:pPr>
      <w:r>
        <w:rPr>
          <w:rFonts w:ascii="仿宋_GB2312" w:hAnsi="仿宋_GB2312" w:eastAsia="仿宋_GB2312"/>
          <w:b w:val="0"/>
          <w:color w:val="000000"/>
          <w:sz w:val="32"/>
        </w:rPr>
        <w:t>生产所需主要原料为优质合金钢、碳素钢等金属棒材及锻件毛坯，价格随钢铁行情波动；关键设备与刀具部分依赖进口。公司具备全链条工艺与模具自制能力（模具自制率较高），有效控制成本与交期。</w:t>
      </w:r>
    </w:p>
    <w:p>
      <w:pPr>
        <w:spacing w:lineRule="exact" w:line="600" w:before="120" w:after="120"/>
        <w:ind w:firstLine="420"/>
        <w:jc w:val="left"/>
      </w:pPr>
      <w:r>
        <w:rPr>
          <w:rFonts w:ascii="楷体_GB2312" w:hAnsi="楷体_GB2312" w:eastAsia="楷体_GB2312"/>
          <w:b w:val="0"/>
          <w:color w:val="000000"/>
          <w:sz w:val="32"/>
        </w:rPr>
        <w:t>（五）产能/资源/牌照</w:t>
      </w:r>
    </w:p>
    <w:p>
      <w:pPr>
        <w:spacing w:lineRule="exact" w:line="600" w:before="0" w:after="0"/>
        <w:ind w:firstLine="420"/>
        <w:jc w:val="both"/>
      </w:pPr>
      <w:r>
        <w:rPr>
          <w:rFonts w:ascii="仿宋_GB2312" w:hAnsi="仿宋_GB2312" w:eastAsia="仿宋_GB2312"/>
          <w:b w:val="0"/>
          <w:color w:val="000000"/>
          <w:sz w:val="32"/>
        </w:rPr>
        <w:t>据公司官网，总资产约10—11亿元，占地218亩，具备年产12万吨锻件、1,000万支传动轴和变速器轴、螺旋锥齿轮150万套的能力，螺旋锥齿轮国内市场占有率达61%。资质方面：国家级绿色工厂、国家高新技术企业、国家级专精特新“小巨人”（通过复审）、山东省制造业“单项冠军”示范企业、山东省“隐形冠军”企业、省级企业技术中心；通过IATF16949等体系认证。</w:t>
      </w:r>
    </w:p>
    <w:p>
      <w:pPr>
        <w:spacing w:lineRule="exact" w:line="600" w:before="120" w:after="120"/>
        <w:ind w:firstLine="420"/>
        <w:jc w:val="left"/>
      </w:pPr>
      <w:r>
        <w:rPr>
          <w:rFonts w:ascii="楷体_GB2312" w:hAnsi="楷体_GB2312" w:eastAsia="楷体_GB2312"/>
          <w:b w:val="0"/>
          <w:color w:val="000000"/>
          <w:sz w:val="32"/>
        </w:rPr>
        <w:t>（六）销售与渠道</w:t>
      </w:r>
    </w:p>
    <w:p>
      <w:pPr>
        <w:spacing w:lineRule="exact" w:line="600" w:before="0" w:after="0"/>
        <w:ind w:firstLine="420"/>
        <w:jc w:val="both"/>
      </w:pPr>
      <w:r>
        <w:rPr>
          <w:rFonts w:ascii="仿宋_GB2312" w:hAnsi="仿宋_GB2312" w:eastAsia="仿宋_GB2312"/>
          <w:b w:val="0"/>
          <w:color w:val="000000"/>
          <w:sz w:val="32"/>
        </w:rPr>
        <w:t>以主机厂直销与战略配套为主，配套一汽、东风德纳、重汽、美驰、IPC及徐工、临工等工程机械龙头；出口欧美、东南亚等国家和地区，提供从锻造到精加工的一体化交付。</w:t>
      </w:r>
    </w:p>
    <w:p>
      <w:pPr>
        <w:spacing w:lineRule="exact" w:line="600" w:before="120" w:after="120"/>
        <w:ind w:firstLine="420"/>
        <w:jc w:val="left"/>
      </w:pPr>
      <w:r>
        <w:rPr>
          <w:rFonts w:ascii="楷体_GB2312" w:hAnsi="楷体_GB2312" w:eastAsia="楷体_GB2312"/>
          <w:b w:val="0"/>
          <w:color w:val="000000"/>
          <w:sz w:val="32"/>
        </w:rPr>
        <w:t>（七）经营数据与市场占有率</w:t>
      </w:r>
    </w:p>
    <w:p>
      <w:pPr>
        <w:spacing w:lineRule="exact" w:line="600" w:before="0" w:after="0"/>
        <w:ind w:firstLine="420"/>
        <w:jc w:val="both"/>
      </w:pPr>
      <w:r>
        <w:rPr>
          <w:rFonts w:ascii="仿宋_GB2312" w:hAnsi="仿宋_GB2312" w:eastAsia="仿宋_GB2312"/>
          <w:b w:val="0"/>
          <w:color w:val="000000"/>
          <w:sz w:val="32"/>
        </w:rPr>
        <w:t>据公司官网，螺旋锥齿轮国内市场占有率达61%，居细分领域绝对领先地位；总资产约10—11亿元。公司为非上市企业，近三年完整财务数据未公开披露；作为汇锋传动控股的核心制造资产，其经营规模在集团内占主导。</w:t>
      </w:r>
    </w:p>
    <w:p>
      <w:pPr>
        <w:spacing w:lineRule="exact" w:line="600" w:before="120" w:after="120"/>
        <w:ind w:firstLine="420"/>
        <w:jc w:val="left"/>
      </w:pPr>
      <w:r>
        <w:rPr>
          <w:rFonts w:ascii="黑体" w:hAnsi="黑体" w:eastAsia="黑体"/>
          <w:b w:val="0"/>
          <w:color w:val="000000"/>
          <w:sz w:val="32"/>
        </w:rPr>
        <w:t>三、财务报表分析</w:t>
      </w:r>
    </w:p>
    <w:p>
      <w:pPr>
        <w:spacing w:lineRule="exact" w:line="600" w:before="120" w:after="120"/>
        <w:ind w:firstLine="420"/>
        <w:jc w:val="left"/>
      </w:pPr>
      <w:r>
        <w:rPr>
          <w:rFonts w:ascii="楷体_GB2312" w:hAnsi="楷体_GB2312" w:eastAsia="楷体_GB2312"/>
          <w:b w:val="0"/>
          <w:color w:val="000000"/>
          <w:sz w:val="32"/>
        </w:rPr>
        <w:t>（一）近三年主要会计数据</w:t>
      </w:r>
    </w:p>
    <w:p>
      <w:pPr>
        <w:spacing w:lineRule="exact" w:line="600" w:before="0" w:after="0"/>
        <w:jc w:val="left"/>
      </w:pPr>
      <w:r>
        <w:rPr>
          <w:rFonts w:ascii="仿宋_GB2312" w:hAnsi="仿宋_GB2312" w:eastAsia="仿宋_GB2312"/>
          <w:b w:val="0"/>
          <w:color w:val="000000"/>
          <w:sz w:val="28"/>
        </w:rPr>
        <w:t>山东温岭精锻为非上市有限责任公司，近三年财务报表未公开披露；下表列示公开可获取数据，单位：万元，不作编造。</w:t>
      </w:r>
    </w:p>
    <w:tbl>
      <w:tblPr>
        <w:tblStyle w:val="TableGrid"/>
        <w:tblW w:type="auto" w:w="0"/>
        <w:jc w:val="center"/>
        <w:tblLook w:firstColumn="1" w:firstRow="1" w:lastColumn="0" w:lastRow="0" w:noHBand="0" w:noVBand="1" w:val="04A0"/>
      </w:tblPr>
      <w:tblGrid>
        <w:gridCol w:w="4422"/>
        <w:gridCol w:w="4422"/>
      </w:tblGrid>
      <w:tr>
        <w:tc>
          <w:tcPr>
            <w:tcW w:type="dxa" w:w="2551"/>
          </w:tcPr>
          <w:p>
            <w:pPr>
              <w:spacing w:lineRule="exact" w:line="600"/>
              <w:jc w:val="center"/>
            </w:pPr>
            <w:r/>
            <w:r>
              <w:rPr>
                <w:rFonts w:ascii="黑体" w:hAnsi="黑体" w:eastAsia="黑体"/>
                <w:b/>
                <w:color w:val="000000"/>
                <w:sz w:val="32"/>
              </w:rPr>
              <w:t>指标</w:t>
            </w:r>
          </w:p>
        </w:tc>
        <w:tc>
          <w:tcPr>
            <w:tcW w:type="dxa" w:w="6236"/>
          </w:tcPr>
          <w:p>
            <w:pPr>
              <w:spacing w:lineRule="exact" w:line="600"/>
              <w:jc w:val="center"/>
            </w:pPr>
            <w:r/>
            <w:r>
              <w:rPr>
                <w:rFonts w:ascii="黑体" w:hAnsi="黑体" w:eastAsia="黑体"/>
                <w:b/>
                <w:color w:val="000000"/>
                <w:sz w:val="32"/>
              </w:rPr>
              <w:t>公开披露值</w:t>
            </w:r>
          </w:p>
        </w:tc>
      </w:tr>
      <w:tr>
        <w:tc>
          <w:tcPr>
            <w:tcW w:type="dxa" w:w="2551"/>
          </w:tcPr>
          <w:p>
            <w:pPr>
              <w:spacing w:lineRule="exact" w:line="600"/>
              <w:jc w:val="center"/>
            </w:pPr>
            <w:r/>
            <w:r>
              <w:rPr>
                <w:rFonts w:ascii="仿宋_GB2312" w:hAnsi="仿宋_GB2312" w:eastAsia="仿宋_GB2312"/>
                <w:b w:val="0"/>
                <w:color w:val="000000"/>
                <w:sz w:val="32"/>
              </w:rPr>
              <w:t>注册资本</w:t>
            </w:r>
          </w:p>
        </w:tc>
        <w:tc>
          <w:tcPr>
            <w:tcW w:type="dxa" w:w="6236"/>
          </w:tcPr>
          <w:p>
            <w:pPr>
              <w:spacing w:lineRule="exact" w:line="600"/>
              <w:jc w:val="center"/>
            </w:pPr>
            <w:r/>
            <w:r>
              <w:rPr>
                <w:rFonts w:ascii="仿宋_GB2312" w:hAnsi="仿宋_GB2312" w:eastAsia="仿宋_GB2312"/>
                <w:b w:val="0"/>
                <w:color w:val="000000"/>
                <w:sz w:val="32"/>
              </w:rPr>
              <w:t>12,802.49（实缴12,802.49）</w:t>
            </w:r>
          </w:p>
        </w:tc>
      </w:tr>
      <w:tr>
        <w:tc>
          <w:tcPr>
            <w:tcW w:type="dxa" w:w="2551"/>
          </w:tcPr>
          <w:p>
            <w:pPr>
              <w:spacing w:lineRule="exact" w:line="600"/>
              <w:jc w:val="center"/>
            </w:pPr>
            <w:r/>
            <w:r>
              <w:rPr>
                <w:rFonts w:ascii="仿宋_GB2312" w:hAnsi="仿宋_GB2312" w:eastAsia="仿宋_GB2312"/>
                <w:b w:val="0"/>
                <w:color w:val="000000"/>
                <w:sz w:val="32"/>
              </w:rPr>
              <w:t>成立时间</w:t>
            </w:r>
          </w:p>
        </w:tc>
        <w:tc>
          <w:tcPr>
            <w:tcW w:type="dxa" w:w="6236"/>
          </w:tcPr>
          <w:p>
            <w:pPr>
              <w:spacing w:lineRule="exact" w:line="600"/>
              <w:jc w:val="center"/>
            </w:pPr>
            <w:r/>
            <w:r>
              <w:rPr>
                <w:rFonts w:ascii="仿宋_GB2312" w:hAnsi="仿宋_GB2312" w:eastAsia="仿宋_GB2312"/>
                <w:b w:val="0"/>
                <w:color w:val="000000"/>
                <w:sz w:val="32"/>
              </w:rPr>
              <w:t>2003-10-28</w:t>
            </w:r>
          </w:p>
        </w:tc>
      </w:tr>
      <w:tr>
        <w:tc>
          <w:tcPr>
            <w:tcW w:type="dxa" w:w="2551"/>
          </w:tcPr>
          <w:p>
            <w:pPr>
              <w:spacing w:lineRule="exact" w:line="600"/>
              <w:jc w:val="center"/>
            </w:pPr>
            <w:r/>
            <w:r>
              <w:rPr>
                <w:rFonts w:ascii="仿宋_GB2312" w:hAnsi="仿宋_GB2312" w:eastAsia="仿宋_GB2312"/>
                <w:b w:val="0"/>
                <w:color w:val="000000"/>
                <w:sz w:val="32"/>
              </w:rPr>
              <w:t>参保人数</w:t>
            </w:r>
          </w:p>
        </w:tc>
        <w:tc>
          <w:tcPr>
            <w:tcW w:type="dxa" w:w="6236"/>
          </w:tcPr>
          <w:p>
            <w:pPr>
              <w:spacing w:lineRule="exact" w:line="600"/>
              <w:jc w:val="center"/>
            </w:pPr>
            <w:r/>
            <w:r>
              <w:rPr>
                <w:rFonts w:ascii="仿宋_GB2312" w:hAnsi="仿宋_GB2312" w:eastAsia="仿宋_GB2312"/>
                <w:b w:val="0"/>
                <w:color w:val="000000"/>
                <w:sz w:val="32"/>
              </w:rPr>
              <w:t>约237人</w:t>
            </w:r>
          </w:p>
        </w:tc>
      </w:tr>
      <w:tr>
        <w:tc>
          <w:tcPr>
            <w:tcW w:type="dxa" w:w="2551"/>
          </w:tcPr>
          <w:p>
            <w:pPr>
              <w:spacing w:lineRule="exact" w:line="600"/>
              <w:jc w:val="center"/>
            </w:pPr>
            <w:r/>
            <w:r>
              <w:rPr>
                <w:rFonts w:ascii="仿宋_GB2312" w:hAnsi="仿宋_GB2312" w:eastAsia="仿宋_GB2312"/>
                <w:b w:val="0"/>
                <w:color w:val="000000"/>
                <w:sz w:val="32"/>
              </w:rPr>
              <w:t>总资产</w:t>
            </w:r>
          </w:p>
        </w:tc>
        <w:tc>
          <w:tcPr>
            <w:tcW w:type="dxa" w:w="6236"/>
          </w:tcPr>
          <w:p>
            <w:pPr>
              <w:spacing w:lineRule="exact" w:line="600"/>
              <w:jc w:val="center"/>
            </w:pPr>
            <w:r/>
            <w:r>
              <w:rPr>
                <w:rFonts w:ascii="仿宋_GB2312" w:hAnsi="仿宋_GB2312" w:eastAsia="仿宋_GB2312"/>
                <w:b w:val="0"/>
                <w:color w:val="000000"/>
                <w:sz w:val="32"/>
              </w:rPr>
              <w:t>约100,000—110,000</w:t>
            </w:r>
          </w:p>
        </w:tc>
      </w:tr>
      <w:tr>
        <w:tc>
          <w:tcPr>
            <w:tcW w:type="dxa" w:w="2551"/>
          </w:tcPr>
          <w:p>
            <w:pPr>
              <w:spacing w:lineRule="exact" w:line="600"/>
              <w:jc w:val="center"/>
            </w:pPr>
            <w:r/>
            <w:r>
              <w:rPr>
                <w:rFonts w:ascii="仿宋_GB2312" w:hAnsi="仿宋_GB2312" w:eastAsia="仿宋_GB2312"/>
                <w:b w:val="0"/>
                <w:color w:val="000000"/>
                <w:sz w:val="32"/>
              </w:rPr>
              <w:t>占地</w:t>
            </w:r>
          </w:p>
        </w:tc>
        <w:tc>
          <w:tcPr>
            <w:tcW w:type="dxa" w:w="6236"/>
          </w:tcPr>
          <w:p>
            <w:pPr>
              <w:spacing w:lineRule="exact" w:line="600"/>
              <w:jc w:val="center"/>
            </w:pPr>
            <w:r/>
            <w:r>
              <w:rPr>
                <w:rFonts w:ascii="仿宋_GB2312" w:hAnsi="仿宋_GB2312" w:eastAsia="仿宋_GB2312"/>
                <w:b w:val="0"/>
                <w:color w:val="000000"/>
                <w:sz w:val="32"/>
              </w:rPr>
              <w:t>218亩</w:t>
            </w:r>
          </w:p>
        </w:tc>
      </w:tr>
      <w:tr>
        <w:tc>
          <w:tcPr>
            <w:tcW w:type="dxa" w:w="2551"/>
          </w:tcPr>
          <w:p>
            <w:pPr>
              <w:spacing w:lineRule="exact" w:line="600"/>
              <w:jc w:val="center"/>
            </w:pPr>
            <w:r/>
            <w:r>
              <w:rPr>
                <w:rFonts w:ascii="仿宋_GB2312" w:hAnsi="仿宋_GB2312" w:eastAsia="仿宋_GB2312"/>
                <w:b w:val="0"/>
                <w:color w:val="000000"/>
                <w:sz w:val="32"/>
              </w:rPr>
              <w:t>年产锻件</w:t>
            </w:r>
          </w:p>
        </w:tc>
        <w:tc>
          <w:tcPr>
            <w:tcW w:type="dxa" w:w="6236"/>
          </w:tcPr>
          <w:p>
            <w:pPr>
              <w:spacing w:lineRule="exact" w:line="600"/>
              <w:jc w:val="center"/>
            </w:pPr>
            <w:r/>
            <w:r>
              <w:rPr>
                <w:rFonts w:ascii="仿宋_GB2312" w:hAnsi="仿宋_GB2312" w:eastAsia="仿宋_GB2312"/>
                <w:b w:val="0"/>
                <w:color w:val="000000"/>
                <w:sz w:val="32"/>
              </w:rPr>
              <w:t>约12万吨</w:t>
            </w:r>
          </w:p>
        </w:tc>
      </w:tr>
      <w:tr>
        <w:tc>
          <w:tcPr>
            <w:tcW w:type="dxa" w:w="2551"/>
          </w:tcPr>
          <w:p>
            <w:pPr>
              <w:spacing w:lineRule="exact" w:line="600"/>
              <w:jc w:val="center"/>
            </w:pPr>
            <w:r/>
            <w:r>
              <w:rPr>
                <w:rFonts w:ascii="仿宋_GB2312" w:hAnsi="仿宋_GB2312" w:eastAsia="仿宋_GB2312"/>
                <w:b w:val="0"/>
                <w:color w:val="000000"/>
                <w:sz w:val="32"/>
              </w:rPr>
              <w:t>螺旋锥齿轮产能</w:t>
            </w:r>
          </w:p>
        </w:tc>
        <w:tc>
          <w:tcPr>
            <w:tcW w:type="dxa" w:w="6236"/>
          </w:tcPr>
          <w:p>
            <w:pPr>
              <w:spacing w:lineRule="exact" w:line="600"/>
              <w:jc w:val="center"/>
            </w:pPr>
            <w:r/>
            <w:r>
              <w:rPr>
                <w:rFonts w:ascii="仿宋_GB2312" w:hAnsi="仿宋_GB2312" w:eastAsia="仿宋_GB2312"/>
                <w:b w:val="0"/>
                <w:color w:val="000000"/>
                <w:sz w:val="32"/>
              </w:rPr>
              <w:t>约150万套/年</w:t>
            </w:r>
          </w:p>
        </w:tc>
      </w:tr>
      <w:tr>
        <w:tc>
          <w:tcPr>
            <w:tcW w:type="dxa" w:w="2551"/>
          </w:tcPr>
          <w:p>
            <w:pPr>
              <w:spacing w:lineRule="exact" w:line="600"/>
              <w:jc w:val="center"/>
            </w:pPr>
            <w:r/>
            <w:r>
              <w:rPr>
                <w:rFonts w:ascii="仿宋_GB2312" w:hAnsi="仿宋_GB2312" w:eastAsia="仿宋_GB2312"/>
                <w:b w:val="0"/>
                <w:color w:val="000000"/>
                <w:sz w:val="32"/>
              </w:rPr>
              <w:t>市占率</w:t>
            </w:r>
          </w:p>
        </w:tc>
        <w:tc>
          <w:tcPr>
            <w:tcW w:type="dxa" w:w="6236"/>
          </w:tcPr>
          <w:p>
            <w:pPr>
              <w:spacing w:lineRule="exact" w:line="600"/>
              <w:jc w:val="center"/>
            </w:pPr>
            <w:r/>
            <w:r>
              <w:rPr>
                <w:rFonts w:ascii="仿宋_GB2312" w:hAnsi="仿宋_GB2312" w:eastAsia="仿宋_GB2312"/>
                <w:b w:val="0"/>
                <w:color w:val="000000"/>
                <w:sz w:val="32"/>
              </w:rPr>
              <w:t>螺旋锥齿轮国内约61%</w:t>
            </w:r>
          </w:p>
        </w:tc>
      </w:tr>
      <w:tr>
        <w:tc>
          <w:tcPr>
            <w:tcW w:type="dxa" w:w="2551"/>
          </w:tcPr>
          <w:p>
            <w:pPr>
              <w:spacing w:lineRule="exact" w:line="600"/>
              <w:jc w:val="center"/>
            </w:pPr>
            <w:r/>
            <w:r>
              <w:rPr>
                <w:rFonts w:ascii="仿宋_GB2312" w:hAnsi="仿宋_GB2312" w:eastAsia="仿宋_GB2312"/>
                <w:b w:val="0"/>
                <w:color w:val="000000"/>
                <w:sz w:val="32"/>
              </w:rPr>
              <w:t>营收/利润</w:t>
            </w:r>
          </w:p>
        </w:tc>
        <w:tc>
          <w:tcPr>
            <w:tcW w:type="dxa" w:w="6236"/>
          </w:tcPr>
          <w:p>
            <w:pPr>
              <w:spacing w:lineRule="exact" w:line="600"/>
              <w:jc w:val="center"/>
            </w:pPr>
            <w:r/>
            <w:r>
              <w:rPr>
                <w:rFonts w:ascii="仿宋_GB2312" w:hAnsi="仿宋_GB2312" w:eastAsia="仿宋_GB2312"/>
                <w:b w:val="0"/>
                <w:color w:val="000000"/>
                <w:sz w:val="32"/>
              </w:rPr>
              <w:t>未公开披露</w:t>
            </w:r>
          </w:p>
        </w:tc>
      </w:tr>
    </w:tbl>
    <w:p>
      <w:pPr>
        <w:spacing w:lineRule="exact" w:line="600" w:before="120" w:after="120"/>
        <w:ind w:firstLine="420"/>
        <w:jc w:val="left"/>
      </w:pPr>
      <w:r>
        <w:rPr>
          <w:rFonts w:ascii="楷体_GB2312" w:hAnsi="楷体_GB2312" w:eastAsia="楷体_GB2312"/>
          <w:b w:val="0"/>
          <w:color w:val="000000"/>
          <w:sz w:val="32"/>
        </w:rPr>
        <w:t>（二）盈利分析</w:t>
      </w:r>
    </w:p>
    <w:p>
      <w:pPr>
        <w:spacing w:lineRule="exact" w:line="600" w:before="0" w:after="0"/>
        <w:ind w:firstLine="420"/>
        <w:jc w:val="both"/>
      </w:pPr>
      <w:r>
        <w:rPr>
          <w:rFonts w:ascii="仿宋_GB2312" w:hAnsi="仿宋_GB2312" w:eastAsia="仿宋_GB2312"/>
          <w:b w:val="0"/>
          <w:color w:val="000000"/>
          <w:sz w:val="32"/>
        </w:rPr>
        <w:t>财务数据未公开披露。公司作为国家级单项冠军与“小巨人”，在螺旋锥齿轮领域市占率领先、工艺溢价能力强，盈利水平应优于行业平均；但2026年1月披露的欠税事项提示短期资金与盈利实现节奏需关注。</w:t>
      </w:r>
    </w:p>
    <w:p>
      <w:pPr>
        <w:spacing w:lineRule="exact" w:line="600" w:before="120" w:after="120"/>
        <w:ind w:firstLine="420"/>
        <w:jc w:val="left"/>
      </w:pPr>
      <w:r>
        <w:rPr>
          <w:rFonts w:ascii="楷体_GB2312" w:hAnsi="楷体_GB2312" w:eastAsia="楷体_GB2312"/>
          <w:b w:val="0"/>
          <w:color w:val="000000"/>
          <w:sz w:val="32"/>
        </w:rPr>
        <w:t>（三）资产质量</w:t>
      </w:r>
    </w:p>
    <w:p>
      <w:pPr>
        <w:spacing w:lineRule="exact" w:line="600" w:before="0" w:after="0"/>
        <w:ind w:firstLine="420"/>
        <w:jc w:val="both"/>
      </w:pPr>
      <w:r>
        <w:rPr>
          <w:rFonts w:ascii="仿宋_GB2312" w:hAnsi="仿宋_GB2312" w:eastAsia="仿宋_GB2312"/>
          <w:b w:val="0"/>
          <w:color w:val="000000"/>
          <w:sz w:val="32"/>
        </w:rPr>
        <w:t>总资产约10—11亿元，重资产属性明显，与年产12万吨锻件产能及218亩厂区、进口锻造压机与机加工设备匹配；资产质量总体扎实。</w:t>
      </w:r>
    </w:p>
    <w:p>
      <w:pPr>
        <w:spacing w:lineRule="exact" w:line="600" w:before="120" w:after="120"/>
        <w:ind w:firstLine="420"/>
        <w:jc w:val="left"/>
      </w:pPr>
      <w:r>
        <w:rPr>
          <w:rFonts w:ascii="楷体_GB2312" w:hAnsi="楷体_GB2312" w:eastAsia="楷体_GB2312"/>
          <w:b w:val="0"/>
          <w:color w:val="000000"/>
          <w:sz w:val="32"/>
        </w:rPr>
        <w:t>（四）负债与偿债</w:t>
      </w:r>
    </w:p>
    <w:p>
      <w:pPr>
        <w:spacing w:lineRule="exact" w:line="600" w:before="0" w:after="0"/>
        <w:ind w:firstLine="420"/>
        <w:jc w:val="both"/>
      </w:pPr>
      <w:r>
        <w:rPr>
          <w:rFonts w:ascii="仿宋_GB2312" w:hAnsi="仿宋_GB2312" w:eastAsia="仿宋_GB2312"/>
          <w:b w:val="0"/>
          <w:color w:val="000000"/>
          <w:sz w:val="32"/>
        </w:rPr>
        <w:t>无公开负债数据。建议授信前核查有息负债、对外担保与关联资金往来；固定资产规模大可支撑融资增信，但需关注欠税对流动性的短期影响。</w:t>
      </w:r>
    </w:p>
    <w:p>
      <w:pPr>
        <w:spacing w:lineRule="exact" w:line="600" w:before="120" w:after="120"/>
        <w:ind w:firstLine="420"/>
        <w:jc w:val="left"/>
      </w:pPr>
      <w:r>
        <w:rPr>
          <w:rFonts w:ascii="楷体_GB2312" w:hAnsi="楷体_GB2312" w:eastAsia="楷体_GB2312"/>
          <w:b w:val="0"/>
          <w:color w:val="000000"/>
          <w:sz w:val="32"/>
        </w:rPr>
        <w:t>（五）现金流分析</w:t>
      </w:r>
    </w:p>
    <w:p>
      <w:pPr>
        <w:spacing w:lineRule="exact" w:line="600" w:before="0" w:after="0"/>
        <w:ind w:firstLine="420"/>
        <w:jc w:val="both"/>
      </w:pPr>
      <w:r>
        <w:rPr>
          <w:rFonts w:ascii="仿宋_GB2312" w:hAnsi="仿宋_GB2312" w:eastAsia="仿宋_GB2312"/>
          <w:b w:val="0"/>
          <w:color w:val="000000"/>
          <w:sz w:val="32"/>
        </w:rPr>
        <w:t>无公开现金流数据。重资产制造与原料采购对营运资金占用较大，叠加2026年1月披露的增值税、企业所得税欠税，需关注经营性现金流与税务资金安排。</w:t>
      </w:r>
    </w:p>
    <w:p>
      <w:pPr>
        <w:spacing w:lineRule="exact" w:line="600" w:before="120" w:after="120"/>
        <w:ind w:firstLine="420"/>
        <w:jc w:val="left"/>
      </w:pPr>
      <w:r>
        <w:rPr>
          <w:rFonts w:ascii="楷体_GB2312" w:hAnsi="楷体_GB2312" w:eastAsia="楷体_GB2312"/>
          <w:b w:val="0"/>
          <w:color w:val="000000"/>
          <w:sz w:val="32"/>
        </w:rPr>
        <w:t>（六）关键指标横向对标</w:t>
      </w:r>
    </w:p>
    <w:p>
      <w:pPr>
        <w:spacing w:lineRule="exact" w:line="600" w:before="0" w:after="0"/>
        <w:ind w:firstLine="420"/>
        <w:jc w:val="both"/>
      </w:pPr>
      <w:r>
        <w:rPr>
          <w:rFonts w:ascii="仿宋_GB2312" w:hAnsi="仿宋_GB2312" w:eastAsia="仿宋_GB2312"/>
          <w:b w:val="0"/>
          <w:color w:val="000000"/>
          <w:sz w:val="32"/>
        </w:rPr>
        <w:t>与山东及全国精密锻件企业相比，温岭精锻以“螺旋锥齿轮国内市占率约61%+国家级单项冠军+小巨人+绿色工厂”处于绝对领先；与母公司汇锋传动协同，构成国内商用车齿轮领域最强制造组合之一。</w:t>
      </w:r>
    </w:p>
    <w:p>
      <w:pPr>
        <w:spacing w:lineRule="exact" w:line="600" w:before="120" w:after="120"/>
        <w:ind w:firstLine="420"/>
        <w:jc w:val="left"/>
      </w:pPr>
      <w:r>
        <w:rPr>
          <w:rFonts w:ascii="黑体" w:hAnsi="黑体" w:eastAsia="黑体"/>
          <w:b w:val="0"/>
          <w:color w:val="000000"/>
          <w:sz w:val="32"/>
        </w:rPr>
        <w:t>四、公司治理、管理与人力资源</w:t>
      </w:r>
    </w:p>
    <w:p>
      <w:pPr>
        <w:spacing w:lineRule="exact" w:line="600" w:before="120" w:after="120"/>
        <w:ind w:firstLine="420"/>
        <w:jc w:val="left"/>
      </w:pPr>
      <w:r>
        <w:rPr>
          <w:rFonts w:ascii="楷体_GB2312" w:hAnsi="楷体_GB2312" w:eastAsia="楷体_GB2312"/>
          <w:b w:val="0"/>
          <w:color w:val="000000"/>
          <w:sz w:val="32"/>
        </w:rPr>
        <w:t>（一）治理结构</w:t>
      </w:r>
    </w:p>
    <w:p>
      <w:pPr>
        <w:spacing w:lineRule="exact" w:line="600" w:before="0" w:after="0"/>
        <w:ind w:firstLine="420"/>
        <w:jc w:val="both"/>
      </w:pPr>
      <w:r>
        <w:rPr>
          <w:rFonts w:ascii="仿宋_GB2312" w:hAnsi="仿宋_GB2312" w:eastAsia="仿宋_GB2312"/>
          <w:b w:val="0"/>
          <w:color w:val="000000"/>
          <w:sz w:val="32"/>
        </w:rPr>
        <w:t>其他有限责任公司，控股股东为汇锋传动（93.73%），设经理（任启华）、董事、监事；重大事项由股东汇锋传动决定，国资参股方山东省财金资本履行出资人职责。</w:t>
      </w:r>
    </w:p>
    <w:p>
      <w:pPr>
        <w:spacing w:lineRule="exact" w:line="600" w:before="120" w:after="120"/>
        <w:ind w:firstLine="420"/>
        <w:jc w:val="left"/>
      </w:pPr>
      <w:r>
        <w:rPr>
          <w:rFonts w:ascii="楷体_GB2312" w:hAnsi="楷体_GB2312" w:eastAsia="楷体_GB2312"/>
          <w:b w:val="0"/>
          <w:color w:val="000000"/>
          <w:sz w:val="32"/>
        </w:rPr>
        <w:t>（二）管理层</w:t>
      </w:r>
    </w:p>
    <w:p>
      <w:pPr>
        <w:spacing w:lineRule="exact" w:line="600" w:before="0" w:after="0"/>
        <w:ind w:firstLine="420"/>
        <w:jc w:val="both"/>
      </w:pPr>
      <w:r>
        <w:rPr>
          <w:rFonts w:ascii="仿宋_GB2312" w:hAnsi="仿宋_GB2312" w:eastAsia="仿宋_GB2312"/>
          <w:b w:val="0"/>
          <w:color w:val="000000"/>
          <w:sz w:val="32"/>
        </w:rPr>
        <w:t>法定代表人、经理、董事任启华（兼汇锋传动董事长兼总经理）；监事周子健。管理依托汇锋传动集团体系，实控人深度参与经营。</w:t>
      </w:r>
    </w:p>
    <w:p>
      <w:pPr>
        <w:spacing w:lineRule="exact" w:line="600" w:before="120" w:after="120"/>
        <w:ind w:firstLine="420"/>
        <w:jc w:val="left"/>
      </w:pPr>
      <w:r>
        <w:rPr>
          <w:rFonts w:ascii="楷体_GB2312" w:hAnsi="楷体_GB2312" w:eastAsia="楷体_GB2312"/>
          <w:b w:val="0"/>
          <w:color w:val="000000"/>
          <w:sz w:val="32"/>
        </w:rPr>
        <w:t>（三）组织与内控</w:t>
      </w:r>
    </w:p>
    <w:p>
      <w:pPr>
        <w:spacing w:lineRule="exact" w:line="600" w:before="0" w:after="0"/>
        <w:ind w:firstLine="420"/>
        <w:jc w:val="both"/>
      </w:pPr>
      <w:r>
        <w:rPr>
          <w:rFonts w:ascii="仿宋_GB2312" w:hAnsi="仿宋_GB2312" w:eastAsia="仿宋_GB2312"/>
          <w:b w:val="0"/>
          <w:color w:val="000000"/>
          <w:sz w:val="32"/>
        </w:rPr>
        <w:t>作为国家高新技术企业、绿色工厂，建立IATF16949等质量与环境管理体系；需关注2026年1月欠税披露事项，强化税务与合规内控。</w:t>
      </w:r>
    </w:p>
    <w:p>
      <w:pPr>
        <w:spacing w:lineRule="exact" w:line="600" w:before="120" w:after="120"/>
        <w:ind w:firstLine="420"/>
        <w:jc w:val="left"/>
      </w:pPr>
      <w:r>
        <w:rPr>
          <w:rFonts w:ascii="楷体_GB2312" w:hAnsi="楷体_GB2312" w:eastAsia="楷体_GB2312"/>
          <w:b w:val="0"/>
          <w:color w:val="000000"/>
          <w:sz w:val="32"/>
        </w:rPr>
        <w:t>（四）人力资源</w:t>
      </w:r>
    </w:p>
    <w:p>
      <w:pPr>
        <w:spacing w:lineRule="exact" w:line="600" w:before="0" w:after="0"/>
        <w:ind w:firstLine="420"/>
        <w:jc w:val="both"/>
      </w:pPr>
      <w:r>
        <w:rPr>
          <w:rFonts w:ascii="仿宋_GB2312" w:hAnsi="仿宋_GB2312" w:eastAsia="仿宋_GB2312"/>
          <w:b w:val="0"/>
          <w:color w:val="000000"/>
          <w:sz w:val="32"/>
        </w:rPr>
        <w:t>参保约237人，以生产与技术工人为主；作为高新技术企业具备一定研发团队，与汇锋传动集团共享研发资源（集团研发人员200余人）。</w:t>
      </w:r>
    </w:p>
    <w:p>
      <w:pPr>
        <w:spacing w:lineRule="exact" w:line="600" w:before="120" w:after="120"/>
        <w:ind w:firstLine="420"/>
        <w:jc w:val="left"/>
      </w:pPr>
      <w:r>
        <w:rPr>
          <w:rFonts w:ascii="黑体" w:hAnsi="黑体" w:eastAsia="黑体"/>
          <w:b w:val="0"/>
          <w:color w:val="000000"/>
          <w:sz w:val="32"/>
        </w:rPr>
        <w:t>五、核心竞争力（护城河）</w:t>
      </w:r>
    </w:p>
    <w:p>
      <w:pPr>
        <w:spacing w:lineRule="exact" w:line="600" w:before="0" w:after="0"/>
        <w:ind w:firstLine="420"/>
        <w:jc w:val="both"/>
      </w:pPr>
      <w:r>
        <w:rPr>
          <w:rFonts w:ascii="仿宋_GB2312" w:hAnsi="仿宋_GB2312" w:eastAsia="仿宋_GB2312"/>
          <w:b w:val="0"/>
          <w:color w:val="000000"/>
          <w:sz w:val="32"/>
        </w:rPr>
        <w:t>一是市场地位壁垒：螺旋锥齿轮国内市场占有率约61%，细分领域绝对龙头，具备定价与渠道优势。二是工艺技术壁垒：近齿形精密锻造、抗疲劳制造技术产业化，主导起草《螺旋锥齿轮精密热锻件通用技术条件》，多项成果行业领先。三是资质与品牌：国家级绿色工厂、高新技术企业、专精特新“小巨人”、山东省单项冠军与隐形冠军。四是全产业链与模具自制：锻造—热处理—机加工—铣齿全链条、模具自制率约95%，成本与交期可控。五是集团协同：依托汇锋传动客户资源（一汽、东风、重汽、美驰、IPC）与资本平台。</w:t>
      </w:r>
    </w:p>
    <w:p>
      <w:pPr>
        <w:spacing w:lineRule="exact" w:line="600" w:before="120" w:after="120"/>
        <w:ind w:firstLine="420"/>
        <w:jc w:val="left"/>
      </w:pPr>
      <w:r>
        <w:rPr>
          <w:rFonts w:ascii="黑体" w:hAnsi="黑体" w:eastAsia="黑体"/>
          <w:b w:val="0"/>
          <w:color w:val="000000"/>
          <w:sz w:val="32"/>
        </w:rPr>
        <w:t>六、风险分析（重点）</w:t>
      </w:r>
    </w:p>
    <w:p>
      <w:pPr>
        <w:spacing w:lineRule="exact" w:line="600" w:before="0" w:after="0"/>
        <w:ind w:firstLine="420"/>
        <w:jc w:val="both"/>
      </w:pPr>
      <w:r>
        <w:rPr>
          <w:rFonts w:ascii="仿宋_GB2312" w:hAnsi="仿宋_GB2312" w:eastAsia="仿宋_GB2312"/>
          <w:b w:val="0"/>
          <w:color w:val="000000"/>
          <w:sz w:val="32"/>
        </w:rPr>
        <w:t>一是欠税与合规风险（重点）：2026年1月公司被披露存在增值税（欠税余额约490.69万元）、企业所得税（约144.87万元）、城市维护建设税、环境保护税、资源税等多项欠税，提示资金与税务合规压力，须持续跟踪整改进展。二是客户与回款风险：主机厂配套账期较长，应收账款规模大。三是行业周期风险：商用车、工程机械、风电等下游周期性强，需求波动影响订单。四是原料价格风险：合金钢等随钢铁行情波动。五是重资产扩张风险：产能较大，固定资产周转与产能利用率影响盈利。</w:t>
      </w:r>
    </w:p>
    <w:p>
      <w:pPr>
        <w:spacing w:lineRule="exact" w:line="600" w:before="120" w:after="120"/>
        <w:ind w:firstLine="420"/>
        <w:jc w:val="left"/>
      </w:pPr>
      <w:r>
        <w:rPr>
          <w:rFonts w:ascii="黑体" w:hAnsi="黑体" w:eastAsia="黑体"/>
          <w:b w:val="0"/>
          <w:color w:val="000000"/>
          <w:sz w:val="32"/>
        </w:rPr>
        <w:t>七、融资需求（与山东投资协同）</w:t>
      </w:r>
    </w:p>
    <w:p>
      <w:pPr>
        <w:spacing w:lineRule="exact" w:line="600" w:before="0" w:after="0"/>
        <w:ind w:firstLine="420"/>
        <w:jc w:val="both"/>
      </w:pPr>
      <w:r>
        <w:rPr>
          <w:rFonts w:ascii="仿宋_GB2312" w:hAnsi="仿宋_GB2312" w:eastAsia="仿宋_GB2312"/>
          <w:b w:val="0"/>
          <w:color w:val="000000"/>
          <w:sz w:val="32"/>
        </w:rPr>
        <w:t>保理业务：对一汽、东风德纳、重汽、美驰等头部客户的应收账款可开展保理，缓解账期压力。供应链金融：围绕核心客户做订单融资、票据贴现，并服务上游原料供应商。融资租赁：锻造压机、机加工与热处理设备投资大，适合以设备直租/回租盘活固定资产、支撑技改。小贷：面向临时性周转。鉴于其细分龙头地位与集团协同，可作为重点客户，但须以欠税整改、规范财务与增信为前提。</w:t>
      </w:r>
    </w:p>
    <w:p>
      <w:pPr>
        <w:spacing w:lineRule="exact" w:line="600" w:before="120" w:after="120"/>
        <w:ind w:firstLine="420"/>
        <w:jc w:val="left"/>
      </w:pPr>
      <w:r>
        <w:rPr>
          <w:rFonts w:ascii="黑体" w:hAnsi="黑体" w:eastAsia="黑体"/>
          <w:b w:val="0"/>
          <w:color w:val="000000"/>
          <w:sz w:val="32"/>
        </w:rPr>
        <w:t>八、综合评价、发展展望与建议</w:t>
      </w:r>
    </w:p>
    <w:p>
      <w:pPr>
        <w:spacing w:lineRule="exact" w:line="600" w:before="0" w:after="0"/>
        <w:ind w:firstLine="420"/>
        <w:jc w:val="both"/>
      </w:pPr>
      <w:r>
        <w:rPr>
          <w:rFonts w:ascii="仿宋_GB2312" w:hAnsi="仿宋_GB2312" w:eastAsia="仿宋_GB2312"/>
          <w:b w:val="0"/>
          <w:color w:val="000000"/>
          <w:sz w:val="32"/>
        </w:rPr>
        <w:t>综合评价：山东温岭精锻是钢城区精密锻件集群的核心制造平台，螺旋锥齿轮国内市占率约61%、资质完备、工艺领先，是优质细分龙头；但非上市、财务不透明，且2026年初披露多项欠税需重点关注。发展展望：据行业趋势，汽车轻量化、轨道交通与风电对高端精密锻件需求持续增长，公司产能与技术优势有望进一步释放。建议：一是以设备融资租赁与核心客户应收保理切入，控制额度并设增信；二是将欠税整改作为授信前提与持续监测项；三是要求补充规范财务报表后再放大授信；四是发挥与汇锋传动协同，联动供应链金融服务链属企业。</w:t>
      </w:r>
    </w:p>
    <w:p>
      <w:pPr>
        <w:spacing w:lineRule="exact" w:line="600" w:before="0" w:after="0"/>
        <w:jc w:val="left"/>
      </w:pPr>
      <w:r>
        <w:rPr>
          <w:rFonts w:ascii="仿宋_GB2312" w:hAnsi="仿宋_GB2312" w:eastAsia="仿宋_GB2312"/>
          <w:b w:val="0"/>
          <w:color w:val="000000"/>
          <w:sz w:val="28"/>
        </w:rPr>
        <w:t>数据来源说明：天眼查/爱企查/企查查/启信宝（工商、股权、资质、参保）、公司官网sdjingduan.com（产能、市占率、产品、荣誉）、行业展会与B2B资料（工艺、客户）、经济导报/大众日报（2026年欠税披露）。近三年完整财务数据未公开披露，已如实标注。</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