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山东省济南市钢城区精密锻件产业集群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金雷科技股份公司企业分析报告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雷科技股份公司（股票代码：300443.SZ，曾用名：山东莱芜金雷风电科技股份有限公司、莱芜金雷重型锻压有限公司）成立于2006年3月24日，法定代表人伊廷雷，统一社会信用代码91371200787153413N，企业类型为其他股份有限公司（上市），注册资本32,013.4598万元，注册地址位于山东省济南市钢城区双元大街18号，登记机关为济南市市场监督管理局，经营状态为存续。2015年4月在深交所创业板上市，实际控制人为创始人伊廷雷（持股约32.07%）。属民营控股上市企业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股权结构：公司股票公开上市，实际控制人为董事长伊廷雷（创始人，持股约32.07%），属民营控股公众公司；前五大客户合计销售占比49.71%，前五大供应商采购占比28.61%。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山东金雷新能源重装有限公司（2021年成立的全资子公司，布局海上风电核心部件制造）等；业务涵盖风电主轴及各类大型锻件的研发、生产与销售，拥有省级企业技术中心和山东省风电主轴工程技术研究中心；与山东大学共建大型锻件均质化研究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2006年成立（初为莱芜金雷重型锻压），2008年更名山东莱芜金雷风电科技，2015年创业板上市，2017年与山东大学共建研究中心，2019年更名“金雷科技股份公司”并完成精铸车间投产，2021年铸造生产线全面投产并成立山东金雷新能源重装，2023年完成21.41亿元定向增发；现正建设高端传动装备科创产业园（三期）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重要的风电主轴供应商、钢城区精密锻件产业集群链主企业。主营业务为风力发电机主轴及各类大型铸锻件的研发、生产和销售，产品覆盖1.5MW—20MW风电主轴及各类锻件，应用于风电、船舶传动、能源装备、军工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业务收入构成：风电主轴收入13.88亿元（占比70.56%，同比-12.78%）、其他精密轴收入3.76亿元（占比19.11%，同比+29.46%）、其他铸件收入0.69亿元（占比3.52%，同比+450.11%）、轴瓦收入0.18亿元（占比0.91%）。地区构成：境内收入18.48亿元（74.25%）、境外收入6.41亿元（25.75%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主导产品为风电锻造主轴、风电铸造主轴、其他精密轴及大型锻件；率先实现6MW超大异形孔锻造风电主轴、18MW超大铸造海上风电主轴等研制，具备从钢锭制备、锻造、热处理、机加工到涂装的全产业链能力。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下游为风电整机厂商（全球主要风电装备企业），前五大客户合计销售占比49.71%；出口率较高（公开披露全球市场占有率约30%，出口率超29%—50%），客户覆盖国内外风电龙头。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生产所需钢锭/废钢、能源（电力）及机加工配件为主要投入；前五大供应商采购占比28.61%，原料价格随钢铁与能源行情波动。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有年生产风电铸造主轴1,500支、锻造主轴10,000支、Ⅰ—Ⅴ类大型锻件20万吨的综合生产能力；正在实施的高端传动装备科创产业园（三期）项目全面达产后可新增高端锻件年产能18万吨，带动风电锻造主轴全球市场占有率突破50%。持有ISO9001、ISO14001、OHSAS18001等体系认证，为国家火炬计划重点高新技术企业、省制造业单项冠军企业，2025年入选第四批“好品山东”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以直销对接全球风电整机厂商为主，依托技术认证与长期合作形成稳定渠道；海外销售占比约25%—50%，并积极开拓轴承等新业务。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据2024年年报：营业总收入19.67亿元，归母净利润1.73亿元；风电主轴全球市场占有率约30%（公开披露），居全球前列。高端传动装备科创产业园达产后目标全球市占率突破50%。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金雷科技为A股上市公司（300443.SZ），财务数据来自2023、2024年年报及2025年业绩预告/快报，单位：亿元。注：2023年毛利率系由2024年同比变动推算；2025年毛利率、资产负债率等单项指标未单独披露，故以“—”标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19.46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19.67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24.89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4.12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3.14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约33.0%(推算)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21.33%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—(未单独披露)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9.36%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3.28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每股收益(元)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1.40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业总收入2023年19.46亿元、2024年19.67亿元（+1.11%）、2025年24.89亿元（+26.7%），稳步增长；归母净利润2023年4.12亿元、2024年1.73亿元（-58.03%）、2025年3.14亿元（+81.5%，预告区间中值），2024年受风电主轴产品降价与行业装机节奏影响盈利大幅承压，2025年随陆风装机高增、大铸件涨价与产能效率提升明显恢复。毛利率2024年21.33%（同比-11.71pct），主轴/其他精密轴毛利率分别为20.97%/33.83%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2024年末总资产约66.50亿元，资产结构以固定资产、存货（8.70亿元，+25.74%）、应收票据及账款为主，与精密锻件重资产属性匹配；资产质量总体扎实。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2024年末资产负债率仅9.36%，有息负债约330万元，速动比率5.26、流动比率7.01，偿债压力极小，财务结构极为稳健。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3.28亿元（同比-16.42%），净利润现金含量189.93%，盈利质量高；投资活动现金流净额-3.25亿元（三期项目建设），筹资活动现金流净额-6.21亿元（偿还债务），自由现金流阶段性承压，依赖经营回笼与定增（2023年21.41亿元）支撑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与通裕重工、广大特材等风电锻件企业相比，金雷科技专注风电主轴、全球市占率约30%居前，资产负债率仅9.36%显著优于同业，财务最稳健；但2024年盈利受降价影响波动较大。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A股公众公司，设董事会、监事会及管理层，治理规范，定期披露年报与权益分派；落实党建与“三重一大”要求。2025年推出员工持股计划（57人，2025—2027年业绩考核以2024年为基数归母净利增速至少32%/40%/48%）。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法定代表人/董事长伊廷雷（创始人、实际控制人，1972年生，哈尔滨商业大学经济学专业，中共党员）；总经理张振。核心团队产业背景深厚，利益绑定充分。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通过ISO9001/ISO14001/OHSAS18001体系认证，建立研发、生产、质量内控体系；作为精密锻件制造企业，安全生产与环保合规为重点。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2024年员工总数2,184人（同比+12.29%），人均创收90.08万元、人均薪酬14.55万元；研发与产业工人储备充足，2024年研发投入8,724.39万元（占营收4.43%）。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市场地位：风电主轴全球市场占有率约30%，链主企业，目标达产突破50%。二是全产业链与产能：钢锭制备—锻造—热处理—机加工—涂装一体化，年产能主轴1.15万支、大型锻件20万吨，三期项目新增18万吨。三是技术与认证：省级企业技术中心、山东省风电主轴工程技术研究中心，6MW/18MW超大主轴研制能力，国家火炬计划重点高新、省单项冠军、“好品山东”品牌。四是财务稳健：资产负债率仅9.36%，融资空间大。五是客户壁垒：全球风电整机龙头长期合作，认证周期长、切换成本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与价格风险（重点）：风电装机节奏与主轴产品降价直接影响盈利，2024年归母净利润同比-58%；应对为提升大铸件/精密轴占比与海外拓展。二是客户集中风险：前五大客户占比49.71%，依赖全球风电整机厂；应对为拓展轴承等新业务与多元客户。三是扩产与资金风险：三期项目总投资30.5亿元，资本开支大，自由现金流阶段性承压（但负债率低、定增已补充资本）。四是原料与能源风险：钢价与电价波动影响成本。五是安全环保风险：锻件制造涉及能耗与安全生产，须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全球风电整机客户的应收账款账期较长，可开展保理融资盘活资金，且核心客户信用优质。供应链金融：依托链主地位，为上游钢锭/配件供应商提供订单与存货融资。融资租赁：高端传动装备科创产业园（三期，总投资30.5亿元）设备投资巨大，适合设备直租/回租，山东投资可重点对接。小贷：面向中小配套供应商短期周转。金雷科技作为链主、全球市占率领先、资产负债率仅9.36%且财务稳健，是优质重点客户，建议以“产业园设备融资租赁+核心客户应收保理”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金雷科技是钢城区精密锻件产业集群链主、全球风电主轴重要供应商，市场地位、全产业链与财务稳健性突出，但2024年受行业降价影响盈利大幅波动、三期项目资本开支较大。发展展望：据公司规划与行业趋势，陆风装机高增、海上风电与大铸件涨价、轴承等新业务拓展将推动业绩量利双增，同时公司加速开拓海外、布局轴承等新业务，有望打开成长空间。建议：一是对接高端传动装备科创产业园（三期）设备融资租赁，绑定项目现金流；二是以核心客户应收保理盘活资金；三是授信前评估扩产节奏与负债边际（当前负债率仅9.36%，空间充足）；四是关注风电行业装机节奏与主轴价格走势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金雷科技2023、2024年年报及2025年业绩预告/快报、巨潮资讯网、东方财富、中证智能财讯（2024年报解读）、新华网/大众日报（钢城精密锻件产业集群与三期项目报道）、百度百科/爱企查（工商股权与沿革）、钢城区政府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