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山东省济宁市兖州区智能农机装备产业集群</w:t>
      </w:r>
    </w:p>
    <w:p>
      <w:pPr>
        <w:spacing w:lineRule="exact" w:line="600" w:before="240" w:after="240"/>
        <w:ind w:firstLine="0"/>
        <w:jc w:val="center"/>
      </w:pPr>
      <w:r>
        <w:rPr>
          <w:rFonts w:ascii="方正小标宋简体" w:hAnsi="方正小标宋简体" w:eastAsia="方正小标宋简体"/>
          <w:b w:val="0"/>
          <w:color w:val="000000"/>
          <w:sz w:val="44"/>
        </w:rPr>
        <w:t>山东大华机械有限公司企业分析报告</w:t>
      </w:r>
    </w:p>
    <w:p>
      <w:pPr>
        <w:spacing w:lineRule="exact" w:line="600" w:before="0" w:after="0"/>
        <w:jc w:val="left"/>
      </w:pPr>
      <w:r>
        <w:rPr>
          <w:rFonts w:ascii="仿宋_GB2312" w:hAnsi="仿宋_GB2312" w:eastAsia="仿宋_GB2312"/>
          <w:b w:val="0"/>
          <w:color w:val="000000"/>
          <w:sz w:val="28"/>
        </w:rPr>
        <w:t>（本报告数据来源于公司年报/官网、天眼查/爱企查/企查查、国家企业信用信息公示系统、权威媒体（大众日报、新华网、齐鲁晚报、烟台广播电视台等）及公开招投标/项目信息，统计时点截至最新披露信息；非上市企业未公开披露财务数据已如实标注，未作任何编造。报告供山东省投资有限公司业务参考之用。）</w:t>
      </w:r>
    </w:p>
    <w:p>
      <w:pPr>
        <w:spacing w:lineRule="exact" w:line="600" w:before="120" w:after="120"/>
        <w:ind w:firstLine="420"/>
        <w:jc w:val="left"/>
      </w:pPr>
      <w:r>
        <w:rPr>
          <w:rFonts w:ascii="黑体" w:hAnsi="黑体" w:eastAsia="黑体"/>
          <w:b w:val="0"/>
          <w:color w:val="000000"/>
          <w:sz w:val="32"/>
        </w:rPr>
        <w:t>一、公司基本概况</w:t>
      </w:r>
    </w:p>
    <w:p>
      <w:pPr>
        <w:spacing w:lineRule="exact" w:line="600" w:before="120" w:after="120"/>
        <w:ind w:firstLine="420"/>
        <w:jc w:val="left"/>
      </w:pPr>
      <w:r>
        <w:rPr>
          <w:rFonts w:ascii="楷体_GB2312" w:hAnsi="楷体_GB2312" w:eastAsia="楷体_GB2312"/>
          <w:b w:val="0"/>
          <w:color w:val="000000"/>
          <w:sz w:val="32"/>
        </w:rPr>
        <w:t>（一）工商信息</w:t>
      </w:r>
    </w:p>
    <w:p>
      <w:pPr>
        <w:spacing w:lineRule="exact" w:line="600" w:before="0" w:after="0"/>
        <w:ind w:firstLine="420"/>
        <w:jc w:val="both"/>
      </w:pPr>
      <w:r>
        <w:rPr>
          <w:rFonts w:ascii="仿宋_GB2312" w:hAnsi="仿宋_GB2312" w:eastAsia="仿宋_GB2312"/>
          <w:b w:val="0"/>
          <w:color w:val="000000"/>
          <w:sz w:val="32"/>
        </w:rPr>
        <w:t>山东大华机械有限公司成立于2006年4月3日（曾用名兖州大华机械有限公司，企业前身可追溯至1996年建厂的兖州大华机械），法定代表人朱现忠，统一社会信用代码9137088278717859X4，企业类型为有限责任公司（自然人独资），注册资本5,000万元人民币（实缴约3,000万元），注册地址位于山东省济宁市兖州区经济开发区兴阳路路南（一说延安东路路南），登记机关为济宁市兖州区市场监督管理局，经营状态为存续（营业期限至2056年3月30日）。参保人数约76人（口径差异，招聘信息显示100—499人）。</w:t>
      </w:r>
    </w:p>
    <w:p>
      <w:pPr>
        <w:spacing w:lineRule="exact" w:line="600" w:before="0" w:after="0"/>
        <w:ind w:firstLine="420"/>
        <w:jc w:val="both"/>
      </w:pPr>
      <w:r>
        <w:rPr>
          <w:rFonts w:ascii="仿宋_GB2312" w:hAnsi="仿宋_GB2312" w:eastAsia="仿宋_GB2312"/>
          <w:b w:val="0"/>
          <w:color w:val="000000"/>
          <w:sz w:val="32"/>
        </w:rPr>
        <w:t>股东为朱现忠，持股100%，为自然人独资企业，实际控制人为朱现忠（董事长兼总经理），属民营控股企业，无国有出资人。</w:t>
      </w:r>
    </w:p>
    <w:p>
      <w:pPr>
        <w:spacing w:lineRule="exact" w:line="600" w:before="120" w:after="120"/>
        <w:ind w:firstLine="420"/>
        <w:jc w:val="left"/>
      </w:pPr>
      <w:r>
        <w:rPr>
          <w:rFonts w:ascii="楷体_GB2312" w:hAnsi="楷体_GB2312" w:eastAsia="楷体_GB2312"/>
          <w:b w:val="0"/>
          <w:color w:val="000000"/>
          <w:sz w:val="32"/>
        </w:rPr>
        <w:t>（二）组织架构</w:t>
      </w:r>
    </w:p>
    <w:p>
      <w:pPr>
        <w:spacing w:lineRule="exact" w:line="600" w:before="0" w:after="0"/>
        <w:ind w:firstLine="420"/>
        <w:jc w:val="both"/>
      </w:pPr>
      <w:r>
        <w:rPr>
          <w:rFonts w:ascii="仿宋_GB2312" w:hAnsi="仿宋_GB2312" w:eastAsia="仿宋_GB2312"/>
          <w:b w:val="0"/>
          <w:color w:val="000000"/>
          <w:sz w:val="32"/>
        </w:rPr>
        <w:t>公司为自然人独资企业，设董事长兼总经理（朱现忠）及经营管理层；建有山东省院士工作站、山东省"一企一技术"研发中心、中国农业科学院创新工程耕整地机械研发试验基地等省级以上研发平台；涵盖研发、生产、销售、服务一体化职能。</w:t>
      </w:r>
    </w:p>
    <w:p>
      <w:pPr>
        <w:spacing w:lineRule="exact" w:line="600" w:before="120" w:after="120"/>
        <w:ind w:firstLine="420"/>
        <w:jc w:val="left"/>
      </w:pPr>
      <w:r>
        <w:rPr>
          <w:rFonts w:ascii="楷体_GB2312" w:hAnsi="楷体_GB2312" w:eastAsia="楷体_GB2312"/>
          <w:b w:val="0"/>
          <w:color w:val="000000"/>
          <w:sz w:val="32"/>
        </w:rPr>
        <w:t>（三）发展沿革</w:t>
      </w:r>
    </w:p>
    <w:p>
      <w:pPr>
        <w:spacing w:lineRule="exact" w:line="600" w:before="0" w:after="0"/>
        <w:ind w:firstLine="420"/>
        <w:jc w:val="both"/>
      </w:pPr>
      <w:r>
        <w:rPr>
          <w:rFonts w:ascii="仿宋_GB2312" w:hAnsi="仿宋_GB2312" w:eastAsia="仿宋_GB2312"/>
          <w:b w:val="0"/>
          <w:color w:val="000000"/>
          <w:sz w:val="32"/>
        </w:rPr>
        <w:t>公司前身始建于1996年，2006年完成公司制改造（兖州大华机械有限公司）；长期专注耕整地机械，成长为全国规模较大的农机具生产企业之一，获评国家级高新技术企业、山东省首批制造业单项冠军企业、山东省首批中小企业"隐形冠军"企业、山东省瞪羚企业、山东省"专精特新"中小企业；旗下"AGRODAHUA 大华宝来"品牌获山东名牌、山东优质品牌、中国农机行业年度产品金奖等荣誉。</w:t>
      </w:r>
    </w:p>
    <w:p>
      <w:pPr>
        <w:spacing w:lineRule="exact" w:line="600" w:before="120" w:after="120"/>
        <w:ind w:firstLine="420"/>
        <w:jc w:val="left"/>
      </w:pPr>
      <w:r>
        <w:rPr>
          <w:rFonts w:ascii="楷体_GB2312" w:hAnsi="楷体_GB2312" w:eastAsia="楷体_GB2312"/>
          <w:b w:val="0"/>
          <w:color w:val="000000"/>
          <w:sz w:val="32"/>
        </w:rPr>
        <w:t>（四）企业定位与主营业务</w:t>
      </w:r>
    </w:p>
    <w:p>
      <w:pPr>
        <w:spacing w:lineRule="exact" w:line="600" w:before="0" w:after="0"/>
        <w:ind w:firstLine="420"/>
        <w:jc w:val="both"/>
      </w:pPr>
      <w:r>
        <w:rPr>
          <w:rFonts w:ascii="仿宋_GB2312" w:hAnsi="仿宋_GB2312" w:eastAsia="仿宋_GB2312"/>
          <w:b w:val="0"/>
          <w:color w:val="000000"/>
          <w:sz w:val="32"/>
        </w:rPr>
        <w:t>企业定位为以研发、生产、销售专业农业机械为主体业务的国家级高新技术企业，是兖州区智能农机装备产业集群的耕整机械龙头。主营业务为农业机械及配件、煤矿机械配件、筑路机械的制造、销售，以及货物技术进出口。核心产品涵盖耕整地机械、种植施肥机械、收获后处理机械、农田基本建设机械四大类一百三十多个品种。</w:t>
      </w:r>
    </w:p>
    <w:p>
      <w:pPr>
        <w:spacing w:lineRule="exact" w:line="600" w:before="120" w:after="120"/>
        <w:ind w:firstLine="420"/>
        <w:jc w:val="left"/>
      </w:pPr>
      <w:r>
        <w:rPr>
          <w:rFonts w:ascii="黑体" w:hAnsi="黑体" w:eastAsia="黑体"/>
          <w:b w:val="0"/>
          <w:color w:val="000000"/>
          <w:sz w:val="32"/>
        </w:rPr>
        <w:t>二、业务层面分析</w:t>
      </w:r>
    </w:p>
    <w:p>
      <w:pPr>
        <w:spacing w:lineRule="exact" w:line="600" w:before="120" w:after="120"/>
        <w:ind w:firstLine="420"/>
        <w:jc w:val="left"/>
      </w:pPr>
      <w:r>
        <w:rPr>
          <w:rFonts w:ascii="楷体_GB2312" w:hAnsi="楷体_GB2312" w:eastAsia="楷体_GB2312"/>
          <w:b w:val="0"/>
          <w:color w:val="000000"/>
          <w:sz w:val="32"/>
        </w:rPr>
        <w:t>（一）业务结构与收入构成</w:t>
      </w:r>
    </w:p>
    <w:p>
      <w:pPr>
        <w:spacing w:lineRule="exact" w:line="600" w:before="0" w:after="0"/>
        <w:ind w:firstLine="420"/>
        <w:jc w:val="both"/>
      </w:pPr>
      <w:r>
        <w:rPr>
          <w:rFonts w:ascii="仿宋_GB2312" w:hAnsi="仿宋_GB2312" w:eastAsia="仿宋_GB2312"/>
          <w:b w:val="0"/>
          <w:color w:val="000000"/>
          <w:sz w:val="32"/>
        </w:rPr>
        <w:t>业务以耕整地机械为核心（播种机、耕整机械为拳头），并向种植施肥机械、收获后处理机械、农田基本建设机械延伸，形成四大类130余品种的产品体系，由单一农机具向综合农机装备供应商转型。公司未公开披露分产品收入占比。</w:t>
      </w:r>
    </w:p>
    <w:p>
      <w:pPr>
        <w:spacing w:lineRule="exact" w:line="600" w:before="120" w:after="120"/>
        <w:ind w:firstLine="420"/>
        <w:jc w:val="left"/>
      </w:pPr>
      <w:r>
        <w:rPr>
          <w:rFonts w:ascii="楷体_GB2312" w:hAnsi="楷体_GB2312" w:eastAsia="楷体_GB2312"/>
          <w:b w:val="0"/>
          <w:color w:val="000000"/>
          <w:sz w:val="32"/>
        </w:rPr>
        <w:t>（二）主要产品与服务</w:t>
      </w:r>
    </w:p>
    <w:p>
      <w:pPr>
        <w:spacing w:lineRule="exact" w:line="600" w:before="0" w:after="0"/>
        <w:ind w:firstLine="420"/>
        <w:jc w:val="both"/>
      </w:pPr>
      <w:r>
        <w:rPr>
          <w:rFonts w:ascii="仿宋_GB2312" w:hAnsi="仿宋_GB2312" w:eastAsia="仿宋_GB2312"/>
          <w:b w:val="0"/>
          <w:color w:val="000000"/>
          <w:sz w:val="32"/>
        </w:rPr>
        <w:t>主导产品：耕整地机械（深松机、旋耕机、整地机）、种植施肥机械（精量播种机、种肥同播装备）、收获后处理机械、农田基本建设机械；代表性专利包括深松分层种肥同播装置、苗带清茬及纸带播种一体作业装置、玉米带状洁区播种气力式精量播种装备等。品牌"大华宝来/AGRODAHUA"。</w:t>
      </w:r>
    </w:p>
    <w:p>
      <w:pPr>
        <w:spacing w:lineRule="exact" w:line="600" w:before="120" w:after="120"/>
        <w:ind w:firstLine="420"/>
        <w:jc w:val="left"/>
      </w:pPr>
      <w:r>
        <w:rPr>
          <w:rFonts w:ascii="楷体_GB2312" w:hAnsi="楷体_GB2312" w:eastAsia="楷体_GB2312"/>
          <w:b w:val="0"/>
          <w:color w:val="000000"/>
          <w:sz w:val="32"/>
        </w:rPr>
        <w:t>（三）客户分析</w:t>
      </w:r>
    </w:p>
    <w:p>
      <w:pPr>
        <w:spacing w:lineRule="exact" w:line="600" w:before="0" w:after="0"/>
        <w:ind w:firstLine="420"/>
        <w:jc w:val="both"/>
      </w:pPr>
      <w:r>
        <w:rPr>
          <w:rFonts w:ascii="仿宋_GB2312" w:hAnsi="仿宋_GB2312" w:eastAsia="仿宋_GB2312"/>
          <w:b w:val="0"/>
          <w:color w:val="000000"/>
          <w:sz w:val="32"/>
        </w:rPr>
        <w:t>客户覆盖全国粮食主产区，拥有600多家销售服务网点，并出口三十多个国家和地区；客户以农机经销商、种植大户、农机合作社及海外代理商为主。</w:t>
      </w:r>
    </w:p>
    <w:p>
      <w:pPr>
        <w:spacing w:lineRule="exact" w:line="600" w:before="120" w:after="120"/>
        <w:ind w:firstLine="420"/>
        <w:jc w:val="left"/>
      </w:pPr>
      <w:r>
        <w:rPr>
          <w:rFonts w:ascii="楷体_GB2312" w:hAnsi="楷体_GB2312" w:eastAsia="楷体_GB2312"/>
          <w:b w:val="0"/>
          <w:color w:val="000000"/>
          <w:sz w:val="32"/>
        </w:rPr>
        <w:t>（四）供应商与采购</w:t>
      </w:r>
    </w:p>
    <w:p>
      <w:pPr>
        <w:spacing w:lineRule="exact" w:line="600" w:before="0" w:after="0"/>
        <w:ind w:firstLine="420"/>
        <w:jc w:val="both"/>
      </w:pPr>
      <w:r>
        <w:rPr>
          <w:rFonts w:ascii="仿宋_GB2312" w:hAnsi="仿宋_GB2312" w:eastAsia="仿宋_GB2312"/>
          <w:b w:val="0"/>
          <w:color w:val="000000"/>
          <w:sz w:val="32"/>
        </w:rPr>
        <w:t>生产所需钢材、传动件、液压件及配套动力为主要采购对象，关键部件外购、结构件自制与总装。</w:t>
      </w:r>
    </w:p>
    <w:p>
      <w:pPr>
        <w:spacing w:lineRule="exact" w:line="600" w:before="120" w:after="120"/>
        <w:ind w:firstLine="420"/>
        <w:jc w:val="left"/>
      </w:pPr>
      <w:r>
        <w:rPr>
          <w:rFonts w:ascii="楷体_GB2312" w:hAnsi="楷体_GB2312" w:eastAsia="楷体_GB2312"/>
          <w:b w:val="0"/>
          <w:color w:val="000000"/>
          <w:sz w:val="32"/>
        </w:rPr>
        <w:t>（五）产能/资源/牌照</w:t>
      </w:r>
    </w:p>
    <w:p>
      <w:pPr>
        <w:spacing w:lineRule="exact" w:line="600" w:before="0" w:after="0"/>
        <w:ind w:firstLine="420"/>
        <w:jc w:val="both"/>
      </w:pPr>
      <w:r>
        <w:rPr>
          <w:rFonts w:ascii="仿宋_GB2312" w:hAnsi="仿宋_GB2312" w:eastAsia="仿宋_GB2312"/>
          <w:b w:val="0"/>
          <w:color w:val="000000"/>
          <w:sz w:val="32"/>
        </w:rPr>
        <w:t>拥有山东省院士工作站、山东省"一企一技术"研发中心、中国农业科学院创新工程耕整地机械研发试验基地等省级以上平台；国家级高新技术企业、山东省制造业单项冠军、隐形冠军、瞪羚、专精特新中小企业；多项发明专利（如CN202011372213.9等）；品牌"大华宝来"获山东名牌。具体产能数据未公开披露。</w:t>
      </w:r>
    </w:p>
    <w:p>
      <w:pPr>
        <w:spacing w:lineRule="exact" w:line="600" w:before="120" w:after="120"/>
        <w:ind w:firstLine="420"/>
        <w:jc w:val="left"/>
      </w:pPr>
      <w:r>
        <w:rPr>
          <w:rFonts w:ascii="楷体_GB2312" w:hAnsi="楷体_GB2312" w:eastAsia="楷体_GB2312"/>
          <w:b w:val="0"/>
          <w:color w:val="000000"/>
          <w:sz w:val="32"/>
        </w:rPr>
        <w:t>（六）销售与渠道</w:t>
      </w:r>
    </w:p>
    <w:p>
      <w:pPr>
        <w:spacing w:lineRule="exact" w:line="600" w:before="0" w:after="0"/>
        <w:ind w:firstLine="420"/>
        <w:jc w:val="both"/>
      </w:pPr>
      <w:r>
        <w:rPr>
          <w:rFonts w:ascii="仿宋_GB2312" w:hAnsi="仿宋_GB2312" w:eastAsia="仿宋_GB2312"/>
          <w:b w:val="0"/>
          <w:color w:val="000000"/>
          <w:sz w:val="32"/>
        </w:rPr>
        <w:t>采用"经销商+直销+出口"模式，国内600余家销售服务网点，官网（dhbl.net）承担产品展示与客户对接，出口三十余国。</w:t>
      </w:r>
    </w:p>
    <w:p>
      <w:pPr>
        <w:spacing w:lineRule="exact" w:line="600" w:before="120" w:after="120"/>
        <w:ind w:firstLine="420"/>
        <w:jc w:val="left"/>
      </w:pPr>
      <w:r>
        <w:rPr>
          <w:rFonts w:ascii="楷体_GB2312" w:hAnsi="楷体_GB2312" w:eastAsia="楷体_GB2312"/>
          <w:b w:val="0"/>
          <w:color w:val="000000"/>
          <w:sz w:val="32"/>
        </w:rPr>
        <w:t>（七）经营数据与市场占有率</w:t>
      </w:r>
    </w:p>
    <w:p>
      <w:pPr>
        <w:spacing w:lineRule="exact" w:line="600" w:before="0" w:after="0"/>
        <w:ind w:firstLine="420"/>
        <w:jc w:val="both"/>
      </w:pPr>
      <w:r>
        <w:rPr>
          <w:rFonts w:ascii="仿宋_GB2312" w:hAnsi="仿宋_GB2312" w:eastAsia="仿宋_GB2312"/>
          <w:b w:val="0"/>
          <w:color w:val="000000"/>
          <w:sz w:val="32"/>
        </w:rPr>
        <w:t>公司为非上市民营企业，财务数据未公开披露，无公开营收、利润及市占率数据。从国家级高新、省制造业单项冠军、隐形冠军与130余品种、600余家网点看，其为全国较大的农机具生产企业之一，在耕整地机械细分领域具领先区域地位。</w:t>
      </w:r>
    </w:p>
    <w:p>
      <w:pPr>
        <w:spacing w:lineRule="exact" w:line="600" w:before="120" w:after="120"/>
        <w:ind w:firstLine="420"/>
        <w:jc w:val="left"/>
      </w:pPr>
      <w:r>
        <w:rPr>
          <w:rFonts w:ascii="黑体" w:hAnsi="黑体" w:eastAsia="黑体"/>
          <w:b w:val="0"/>
          <w:color w:val="000000"/>
          <w:sz w:val="32"/>
        </w:rPr>
        <w:t>三、财务报表分析</w:t>
      </w:r>
    </w:p>
    <w:p>
      <w:pPr>
        <w:spacing w:lineRule="exact" w:line="600" w:before="120" w:after="120"/>
        <w:ind w:firstLine="420"/>
        <w:jc w:val="left"/>
      </w:pPr>
      <w:r>
        <w:rPr>
          <w:rFonts w:ascii="楷体_GB2312" w:hAnsi="楷体_GB2312" w:eastAsia="楷体_GB2312"/>
          <w:b w:val="0"/>
          <w:color w:val="000000"/>
          <w:sz w:val="32"/>
        </w:rPr>
        <w:t>（一）近三年主要会计数据</w:t>
      </w:r>
    </w:p>
    <w:p>
      <w:pPr>
        <w:spacing w:lineRule="exact" w:line="600" w:before="0" w:after="0"/>
        <w:jc w:val="left"/>
      </w:pPr>
      <w:r>
        <w:rPr>
          <w:rFonts w:ascii="仿宋_GB2312" w:hAnsi="仿宋_GB2312" w:eastAsia="仿宋_GB2312"/>
          <w:b w:val="0"/>
          <w:color w:val="000000"/>
          <w:sz w:val="28"/>
        </w:rPr>
        <w:t>山东大华机械有限公司为非上市自然人独资企业，近三年财务报表未公开披露，以下仅列公开工商与资质信息，不作财务数据编造。</w:t>
      </w:r>
    </w:p>
    <w:tbl>
      <w:tblPr>
        <w:tblStyle w:val="TableGrid"/>
        <w:tblW w:type="auto" w:w="0"/>
        <w:jc w:val="center"/>
        <w:tblLook w:firstColumn="1" w:firstRow="1" w:lastColumn="0" w:lastRow="0" w:noHBand="0" w:noVBand="1" w:val="04A0"/>
      </w:tblPr>
      <w:tblGrid>
        <w:gridCol w:w="4422"/>
        <w:gridCol w:w="4422"/>
      </w:tblGrid>
      <w:tr>
        <w:tc>
          <w:tcPr>
            <w:tcW w:type="dxa" w:w="2551"/>
          </w:tcPr>
          <w:p>
            <w:pPr>
              <w:spacing w:lineRule="exact" w:line="600"/>
              <w:jc w:val="center"/>
            </w:pPr>
            <w:r/>
            <w:r>
              <w:rPr>
                <w:rFonts w:ascii="黑体" w:hAnsi="黑体" w:eastAsia="黑体"/>
                <w:b/>
                <w:color w:val="000000"/>
                <w:sz w:val="32"/>
              </w:rPr>
              <w:t>指标</w:t>
            </w:r>
          </w:p>
        </w:tc>
        <w:tc>
          <w:tcPr>
            <w:tcW w:type="dxa" w:w="6236"/>
          </w:tcPr>
          <w:p>
            <w:pPr>
              <w:spacing w:lineRule="exact" w:line="600"/>
              <w:jc w:val="center"/>
            </w:pPr>
            <w:r/>
            <w:r>
              <w:rPr>
                <w:rFonts w:ascii="黑体" w:hAnsi="黑体" w:eastAsia="黑体"/>
                <w:b/>
                <w:color w:val="000000"/>
                <w:sz w:val="32"/>
              </w:rPr>
              <w:t>公开披露值</w:t>
            </w:r>
          </w:p>
        </w:tc>
      </w:tr>
      <w:tr>
        <w:tc>
          <w:tcPr>
            <w:tcW w:type="dxa" w:w="2551"/>
          </w:tcPr>
          <w:p>
            <w:pPr>
              <w:spacing w:lineRule="exact" w:line="600"/>
              <w:jc w:val="center"/>
            </w:pPr>
            <w:r/>
            <w:r>
              <w:rPr>
                <w:rFonts w:ascii="仿宋_GB2312" w:hAnsi="仿宋_GB2312" w:eastAsia="仿宋_GB2312"/>
                <w:b w:val="0"/>
                <w:color w:val="000000"/>
                <w:sz w:val="32"/>
              </w:rPr>
              <w:t>注册资本</w:t>
            </w:r>
          </w:p>
        </w:tc>
        <w:tc>
          <w:tcPr>
            <w:tcW w:type="dxa" w:w="6236"/>
          </w:tcPr>
          <w:p>
            <w:pPr>
              <w:spacing w:lineRule="exact" w:line="600"/>
              <w:jc w:val="center"/>
            </w:pPr>
            <w:r/>
            <w:r>
              <w:rPr>
                <w:rFonts w:ascii="仿宋_GB2312" w:hAnsi="仿宋_GB2312" w:eastAsia="仿宋_GB2312"/>
                <w:b w:val="0"/>
                <w:color w:val="000000"/>
                <w:sz w:val="32"/>
              </w:rPr>
              <w:t>5,000万元（实缴约3,000万元）</w:t>
            </w:r>
          </w:p>
        </w:tc>
      </w:tr>
      <w:tr>
        <w:tc>
          <w:tcPr>
            <w:tcW w:type="dxa" w:w="2551"/>
          </w:tcPr>
          <w:p>
            <w:pPr>
              <w:spacing w:lineRule="exact" w:line="600"/>
              <w:jc w:val="center"/>
            </w:pPr>
            <w:r/>
            <w:r>
              <w:rPr>
                <w:rFonts w:ascii="仿宋_GB2312" w:hAnsi="仿宋_GB2312" w:eastAsia="仿宋_GB2312"/>
                <w:b w:val="0"/>
                <w:color w:val="000000"/>
                <w:sz w:val="32"/>
              </w:rPr>
              <w:t>成立时间</w:t>
            </w:r>
          </w:p>
        </w:tc>
        <w:tc>
          <w:tcPr>
            <w:tcW w:type="dxa" w:w="6236"/>
          </w:tcPr>
          <w:p>
            <w:pPr>
              <w:spacing w:lineRule="exact" w:line="600"/>
              <w:jc w:val="center"/>
            </w:pPr>
            <w:r/>
            <w:r>
              <w:rPr>
                <w:rFonts w:ascii="仿宋_GB2312" w:hAnsi="仿宋_GB2312" w:eastAsia="仿宋_GB2312"/>
                <w:b w:val="0"/>
                <w:color w:val="000000"/>
                <w:sz w:val="32"/>
              </w:rPr>
              <w:t>2006-04-03（前身1996年）</w:t>
            </w:r>
          </w:p>
        </w:tc>
      </w:tr>
      <w:tr>
        <w:tc>
          <w:tcPr>
            <w:tcW w:type="dxa" w:w="2551"/>
          </w:tcPr>
          <w:p>
            <w:pPr>
              <w:spacing w:lineRule="exact" w:line="600"/>
              <w:jc w:val="center"/>
            </w:pPr>
            <w:r/>
            <w:r>
              <w:rPr>
                <w:rFonts w:ascii="仿宋_GB2312" w:hAnsi="仿宋_GB2312" w:eastAsia="仿宋_GB2312"/>
                <w:b w:val="0"/>
                <w:color w:val="000000"/>
                <w:sz w:val="32"/>
              </w:rPr>
              <w:t>参保人数</w:t>
            </w:r>
          </w:p>
        </w:tc>
        <w:tc>
          <w:tcPr>
            <w:tcW w:type="dxa" w:w="6236"/>
          </w:tcPr>
          <w:p>
            <w:pPr>
              <w:spacing w:lineRule="exact" w:line="600"/>
              <w:jc w:val="center"/>
            </w:pPr>
            <w:r/>
            <w:r>
              <w:rPr>
                <w:rFonts w:ascii="仿宋_GB2312" w:hAnsi="仿宋_GB2312" w:eastAsia="仿宋_GB2312"/>
                <w:b w:val="0"/>
                <w:color w:val="000000"/>
                <w:sz w:val="32"/>
              </w:rPr>
              <w:t>约76人（口径差异）</w:t>
            </w:r>
          </w:p>
        </w:tc>
      </w:tr>
      <w:tr>
        <w:tc>
          <w:tcPr>
            <w:tcW w:type="dxa" w:w="2551"/>
          </w:tcPr>
          <w:p>
            <w:pPr>
              <w:spacing w:lineRule="exact" w:line="600"/>
              <w:jc w:val="center"/>
            </w:pPr>
            <w:r/>
            <w:r>
              <w:rPr>
                <w:rFonts w:ascii="仿宋_GB2312" w:hAnsi="仿宋_GB2312" w:eastAsia="仿宋_GB2312"/>
                <w:b w:val="0"/>
                <w:color w:val="000000"/>
                <w:sz w:val="32"/>
              </w:rPr>
              <w:t>企业类型</w:t>
            </w:r>
          </w:p>
        </w:tc>
        <w:tc>
          <w:tcPr>
            <w:tcW w:type="dxa" w:w="6236"/>
          </w:tcPr>
          <w:p>
            <w:pPr>
              <w:spacing w:lineRule="exact" w:line="600"/>
              <w:jc w:val="center"/>
            </w:pPr>
            <w:r/>
            <w:r>
              <w:rPr>
                <w:rFonts w:ascii="仿宋_GB2312" w:hAnsi="仿宋_GB2312" w:eastAsia="仿宋_GB2312"/>
                <w:b w:val="0"/>
                <w:color w:val="000000"/>
                <w:sz w:val="32"/>
              </w:rPr>
              <w:t>有限责任公司（自然人独资）</w:t>
            </w:r>
          </w:p>
        </w:tc>
      </w:tr>
      <w:tr>
        <w:tc>
          <w:tcPr>
            <w:tcW w:type="dxa" w:w="2551"/>
          </w:tcPr>
          <w:p>
            <w:pPr>
              <w:spacing w:lineRule="exact" w:line="600"/>
              <w:jc w:val="center"/>
            </w:pPr>
            <w:r/>
            <w:r>
              <w:rPr>
                <w:rFonts w:ascii="仿宋_GB2312" w:hAnsi="仿宋_GB2312" w:eastAsia="仿宋_GB2312"/>
                <w:b w:val="0"/>
                <w:color w:val="000000"/>
                <w:sz w:val="32"/>
              </w:rPr>
              <w:t>实控人</w:t>
            </w:r>
          </w:p>
        </w:tc>
        <w:tc>
          <w:tcPr>
            <w:tcW w:type="dxa" w:w="6236"/>
          </w:tcPr>
          <w:p>
            <w:pPr>
              <w:spacing w:lineRule="exact" w:line="600"/>
              <w:jc w:val="center"/>
            </w:pPr>
            <w:r/>
            <w:r>
              <w:rPr>
                <w:rFonts w:ascii="仿宋_GB2312" w:hAnsi="仿宋_GB2312" w:eastAsia="仿宋_GB2312"/>
                <w:b w:val="0"/>
                <w:color w:val="000000"/>
                <w:sz w:val="32"/>
              </w:rPr>
              <w:t>朱现忠（持股100%）</w:t>
            </w:r>
          </w:p>
        </w:tc>
      </w:tr>
      <w:tr>
        <w:tc>
          <w:tcPr>
            <w:tcW w:type="dxa" w:w="2551"/>
          </w:tcPr>
          <w:p>
            <w:pPr>
              <w:spacing w:lineRule="exact" w:line="600"/>
              <w:jc w:val="center"/>
            </w:pPr>
            <w:r/>
            <w:r>
              <w:rPr>
                <w:rFonts w:ascii="仿宋_GB2312" w:hAnsi="仿宋_GB2312" w:eastAsia="仿宋_GB2312"/>
                <w:b w:val="0"/>
                <w:color w:val="000000"/>
                <w:sz w:val="32"/>
              </w:rPr>
              <w:t>营收/利润</w:t>
            </w:r>
          </w:p>
        </w:tc>
        <w:tc>
          <w:tcPr>
            <w:tcW w:type="dxa" w:w="6236"/>
          </w:tcPr>
          <w:p>
            <w:pPr>
              <w:spacing w:lineRule="exact" w:line="600"/>
              <w:jc w:val="center"/>
            </w:pPr>
            <w:r/>
            <w:r>
              <w:rPr>
                <w:rFonts w:ascii="仿宋_GB2312" w:hAnsi="仿宋_GB2312" w:eastAsia="仿宋_GB2312"/>
                <w:b w:val="0"/>
                <w:color w:val="000000"/>
                <w:sz w:val="32"/>
              </w:rPr>
              <w:t>未公开披露</w:t>
            </w:r>
          </w:p>
        </w:tc>
      </w:tr>
    </w:tbl>
    <w:p>
      <w:pPr>
        <w:spacing w:lineRule="exact" w:line="600" w:before="120" w:after="120"/>
        <w:ind w:firstLine="420"/>
        <w:jc w:val="left"/>
      </w:pPr>
      <w:r>
        <w:rPr>
          <w:rFonts w:ascii="楷体_GB2312" w:hAnsi="楷体_GB2312" w:eastAsia="楷体_GB2312"/>
          <w:b w:val="0"/>
          <w:color w:val="000000"/>
          <w:sz w:val="32"/>
        </w:rPr>
        <w:t>（二）盈利分析</w:t>
      </w:r>
    </w:p>
    <w:p>
      <w:pPr>
        <w:spacing w:lineRule="exact" w:line="600" w:before="0" w:after="0"/>
        <w:ind w:firstLine="420"/>
        <w:jc w:val="both"/>
      </w:pPr>
      <w:r>
        <w:rPr>
          <w:rFonts w:ascii="仿宋_GB2312" w:hAnsi="仿宋_GB2312" w:eastAsia="仿宋_GB2312"/>
          <w:b w:val="0"/>
          <w:color w:val="000000"/>
          <w:sz w:val="32"/>
        </w:rPr>
        <w:t>财务数据未公开披露。农机具制造毛利率受钢材价格与竞争影响，单项冠军与隐形冠军资质下产品溢价能力较好。</w:t>
      </w:r>
    </w:p>
    <w:p>
      <w:pPr>
        <w:spacing w:lineRule="exact" w:line="600" w:before="120" w:after="120"/>
        <w:ind w:firstLine="420"/>
        <w:jc w:val="left"/>
      </w:pPr>
      <w:r>
        <w:rPr>
          <w:rFonts w:ascii="楷体_GB2312" w:hAnsi="楷体_GB2312" w:eastAsia="楷体_GB2312"/>
          <w:b w:val="0"/>
          <w:color w:val="000000"/>
          <w:sz w:val="32"/>
        </w:rPr>
        <w:t>（三）资产质量</w:t>
      </w:r>
    </w:p>
    <w:p>
      <w:pPr>
        <w:spacing w:lineRule="exact" w:line="600" w:before="0" w:after="0"/>
        <w:ind w:firstLine="420"/>
        <w:jc w:val="both"/>
      </w:pPr>
      <w:r>
        <w:rPr>
          <w:rFonts w:ascii="仿宋_GB2312" w:hAnsi="仿宋_GB2312" w:eastAsia="仿宋_GB2312"/>
          <w:b w:val="0"/>
          <w:color w:val="000000"/>
          <w:sz w:val="32"/>
        </w:rPr>
        <w:t>无公开资产数据。重资产制造属性下固定资产（厂房、产线）占比较大。</w:t>
      </w:r>
    </w:p>
    <w:p>
      <w:pPr>
        <w:spacing w:lineRule="exact" w:line="600" w:before="120" w:after="120"/>
        <w:ind w:firstLine="420"/>
        <w:jc w:val="left"/>
      </w:pPr>
      <w:r>
        <w:rPr>
          <w:rFonts w:ascii="楷体_GB2312" w:hAnsi="楷体_GB2312" w:eastAsia="楷体_GB2312"/>
          <w:b w:val="0"/>
          <w:color w:val="000000"/>
          <w:sz w:val="32"/>
        </w:rPr>
        <w:t>（四）负债与偿债</w:t>
      </w:r>
    </w:p>
    <w:p>
      <w:pPr>
        <w:spacing w:lineRule="exact" w:line="600" w:before="0" w:after="0"/>
        <w:ind w:firstLine="420"/>
        <w:jc w:val="both"/>
      </w:pPr>
      <w:r>
        <w:rPr>
          <w:rFonts w:ascii="仿宋_GB2312" w:hAnsi="仿宋_GB2312" w:eastAsia="仿宋_GB2312"/>
          <w:b w:val="0"/>
          <w:color w:val="000000"/>
          <w:sz w:val="32"/>
        </w:rPr>
        <w:t>无公开负债数据。建议授信前核查有息负债与对外担保。</w:t>
      </w:r>
    </w:p>
    <w:p>
      <w:pPr>
        <w:spacing w:lineRule="exact" w:line="600" w:before="120" w:after="120"/>
        <w:ind w:firstLine="420"/>
        <w:jc w:val="left"/>
      </w:pPr>
      <w:r>
        <w:rPr>
          <w:rFonts w:ascii="楷体_GB2312" w:hAnsi="楷体_GB2312" w:eastAsia="楷体_GB2312"/>
          <w:b w:val="0"/>
          <w:color w:val="000000"/>
          <w:sz w:val="32"/>
        </w:rPr>
        <w:t>（五）现金流分析</w:t>
      </w:r>
    </w:p>
    <w:p>
      <w:pPr>
        <w:spacing w:lineRule="exact" w:line="600" w:before="0" w:after="0"/>
        <w:ind w:firstLine="420"/>
        <w:jc w:val="both"/>
      </w:pPr>
      <w:r>
        <w:rPr>
          <w:rFonts w:ascii="仿宋_GB2312" w:hAnsi="仿宋_GB2312" w:eastAsia="仿宋_GB2312"/>
          <w:b w:val="0"/>
          <w:color w:val="000000"/>
          <w:sz w:val="32"/>
        </w:rPr>
        <w:t>无公开现金流数据。农机销售季节性、经销商占款使经营现金流波动，需关注应收管理。</w:t>
      </w:r>
    </w:p>
    <w:p>
      <w:pPr>
        <w:spacing w:lineRule="exact" w:line="600" w:before="120" w:after="120"/>
        <w:ind w:firstLine="420"/>
        <w:jc w:val="left"/>
      </w:pPr>
      <w:r>
        <w:rPr>
          <w:rFonts w:ascii="楷体_GB2312" w:hAnsi="楷体_GB2312" w:eastAsia="楷体_GB2312"/>
          <w:b w:val="0"/>
          <w:color w:val="000000"/>
          <w:sz w:val="32"/>
        </w:rPr>
        <w:t>（六）关键指标横向对标</w:t>
      </w:r>
    </w:p>
    <w:p>
      <w:pPr>
        <w:spacing w:lineRule="exact" w:line="600" w:before="0" w:after="0"/>
        <w:ind w:firstLine="420"/>
        <w:jc w:val="both"/>
      </w:pPr>
      <w:r>
        <w:rPr>
          <w:rFonts w:ascii="仿宋_GB2312" w:hAnsi="仿宋_GB2312" w:eastAsia="仿宋_GB2312"/>
          <w:b w:val="0"/>
          <w:color w:val="000000"/>
          <w:sz w:val="32"/>
        </w:rPr>
        <w:t>与同集群金大丰（收获机械龙头）、国丰（玉米机单项冠军）相比，大华专注于耕整地/播种机械，同为省级制造业单项冠军与隐形冠军，产品互补、错位发展，构成兖州智能农机集群"耕、种、收"完整链条。</w:t>
      </w:r>
    </w:p>
    <w:p>
      <w:pPr>
        <w:spacing w:lineRule="exact" w:line="600" w:before="120" w:after="120"/>
        <w:ind w:firstLine="420"/>
        <w:jc w:val="left"/>
      </w:pPr>
      <w:r>
        <w:rPr>
          <w:rFonts w:ascii="黑体" w:hAnsi="黑体" w:eastAsia="黑体"/>
          <w:b w:val="0"/>
          <w:color w:val="000000"/>
          <w:sz w:val="32"/>
        </w:rPr>
        <w:t>四、公司治理、管理与人力资源</w:t>
      </w:r>
    </w:p>
    <w:p>
      <w:pPr>
        <w:spacing w:lineRule="exact" w:line="600" w:before="120" w:after="120"/>
        <w:ind w:firstLine="420"/>
        <w:jc w:val="left"/>
      </w:pPr>
      <w:r>
        <w:rPr>
          <w:rFonts w:ascii="楷体_GB2312" w:hAnsi="楷体_GB2312" w:eastAsia="楷体_GB2312"/>
          <w:b w:val="0"/>
          <w:color w:val="000000"/>
          <w:sz w:val="32"/>
        </w:rPr>
        <w:t>（一）治理结构</w:t>
      </w:r>
    </w:p>
    <w:p>
      <w:pPr>
        <w:spacing w:lineRule="exact" w:line="600" w:before="0" w:after="0"/>
        <w:ind w:firstLine="420"/>
        <w:jc w:val="both"/>
      </w:pPr>
      <w:r>
        <w:rPr>
          <w:rFonts w:ascii="仿宋_GB2312" w:hAnsi="仿宋_GB2312" w:eastAsia="仿宋_GB2312"/>
          <w:b w:val="0"/>
          <w:color w:val="000000"/>
          <w:sz w:val="32"/>
        </w:rPr>
        <w:t>自然人独资企业，设董事长兼总经理（朱现忠）及经营管理层，治理简洁，重大事项由实控人决策。</w:t>
      </w:r>
    </w:p>
    <w:p>
      <w:pPr>
        <w:spacing w:lineRule="exact" w:line="600" w:before="120" w:after="120"/>
        <w:ind w:firstLine="420"/>
        <w:jc w:val="left"/>
      </w:pPr>
      <w:r>
        <w:rPr>
          <w:rFonts w:ascii="楷体_GB2312" w:hAnsi="楷体_GB2312" w:eastAsia="楷体_GB2312"/>
          <w:b w:val="0"/>
          <w:color w:val="000000"/>
          <w:sz w:val="32"/>
        </w:rPr>
        <w:t>（二）管理层</w:t>
      </w:r>
    </w:p>
    <w:p>
      <w:pPr>
        <w:spacing w:lineRule="exact" w:line="600" w:before="0" w:after="0"/>
        <w:ind w:firstLine="420"/>
        <w:jc w:val="both"/>
      </w:pPr>
      <w:r>
        <w:rPr>
          <w:rFonts w:ascii="仿宋_GB2312" w:hAnsi="仿宋_GB2312" w:eastAsia="仿宋_GB2312"/>
          <w:b w:val="0"/>
          <w:color w:val="000000"/>
          <w:sz w:val="32"/>
        </w:rPr>
        <w:t>法定代表人、董事长兼总经理朱现忠，山东兖州人、高级工程师，1996年创建兖州大华机械，带领企业从配件小厂发展为专业农机制造企业，技术背景深厚。</w:t>
      </w:r>
    </w:p>
    <w:p>
      <w:pPr>
        <w:spacing w:lineRule="exact" w:line="600" w:before="120" w:after="120"/>
        <w:ind w:firstLine="420"/>
        <w:jc w:val="left"/>
      </w:pPr>
      <w:r>
        <w:rPr>
          <w:rFonts w:ascii="楷体_GB2312" w:hAnsi="楷体_GB2312" w:eastAsia="楷体_GB2312"/>
          <w:b w:val="0"/>
          <w:color w:val="000000"/>
          <w:sz w:val="32"/>
        </w:rPr>
        <w:t>（三）组织与内控</w:t>
      </w:r>
    </w:p>
    <w:p>
      <w:pPr>
        <w:spacing w:lineRule="exact" w:line="600" w:before="0" w:after="0"/>
        <w:ind w:firstLine="420"/>
        <w:jc w:val="both"/>
      </w:pPr>
      <w:r>
        <w:rPr>
          <w:rFonts w:ascii="仿宋_GB2312" w:hAnsi="仿宋_GB2312" w:eastAsia="仿宋_GB2312"/>
          <w:b w:val="0"/>
          <w:color w:val="000000"/>
          <w:sz w:val="32"/>
        </w:rPr>
        <w:t>建有院士工作站、省级研发中心与农科院试验基地，研发与质量内控体系较完备；通过高新技术企业等资质认定。</w:t>
      </w:r>
    </w:p>
    <w:p>
      <w:pPr>
        <w:spacing w:lineRule="exact" w:line="600" w:before="120" w:after="120"/>
        <w:ind w:firstLine="420"/>
        <w:jc w:val="left"/>
      </w:pPr>
      <w:r>
        <w:rPr>
          <w:rFonts w:ascii="楷体_GB2312" w:hAnsi="楷体_GB2312" w:eastAsia="楷体_GB2312"/>
          <w:b w:val="0"/>
          <w:color w:val="000000"/>
          <w:sz w:val="32"/>
        </w:rPr>
        <w:t>（四）人力资源</w:t>
      </w:r>
    </w:p>
    <w:p>
      <w:pPr>
        <w:spacing w:lineRule="exact" w:line="600" w:before="0" w:after="0"/>
        <w:ind w:firstLine="420"/>
        <w:jc w:val="both"/>
      </w:pPr>
      <w:r>
        <w:rPr>
          <w:rFonts w:ascii="仿宋_GB2312" w:hAnsi="仿宋_GB2312" w:eastAsia="仿宋_GB2312"/>
          <w:b w:val="0"/>
          <w:color w:val="000000"/>
          <w:sz w:val="32"/>
        </w:rPr>
        <w:t>参保约76人（招聘口径显示100—499人），以技术与生产工人为主；院士工作站与研发中心体现较强研发人力配置。</w:t>
      </w:r>
    </w:p>
    <w:p>
      <w:pPr>
        <w:spacing w:lineRule="exact" w:line="600" w:before="120" w:after="120"/>
        <w:ind w:firstLine="420"/>
        <w:jc w:val="left"/>
      </w:pPr>
      <w:r>
        <w:rPr>
          <w:rFonts w:ascii="黑体" w:hAnsi="黑体" w:eastAsia="黑体"/>
          <w:b w:val="0"/>
          <w:color w:val="000000"/>
          <w:sz w:val="32"/>
        </w:rPr>
        <w:t>五、核心竞争力（护城河）</w:t>
      </w:r>
    </w:p>
    <w:p>
      <w:pPr>
        <w:spacing w:lineRule="exact" w:line="600" w:before="0" w:after="0"/>
        <w:ind w:firstLine="420"/>
        <w:jc w:val="both"/>
      </w:pPr>
      <w:r>
        <w:rPr>
          <w:rFonts w:ascii="仿宋_GB2312" w:hAnsi="仿宋_GB2312" w:eastAsia="仿宋_GB2312"/>
          <w:b w:val="0"/>
          <w:color w:val="000000"/>
          <w:sz w:val="32"/>
        </w:rPr>
        <w:t>一是产品与单项冠军壁垒：山东省制造业单项冠军、隐形冠军，耕整地/播种机械技术领先，130余品种、多项发明专利。二是研发平台：山东省院士工作站、一企一技术研发中心、中国农科院耕整地机械研发试验基地，产学研优势突出。三是品牌与渠道："大华宝来/AGRODAHUA"山东名牌，600余家销售服务网点、出口三十余国。四是集群协同：与金大丰（收）、国丰（玉米机）错位互补，共筑兖州智能农机集群完整产业链。</w:t>
      </w:r>
    </w:p>
    <w:p>
      <w:pPr>
        <w:spacing w:lineRule="exact" w:line="600" w:before="120" w:after="120"/>
        <w:ind w:firstLine="420"/>
        <w:jc w:val="left"/>
      </w:pPr>
      <w:r>
        <w:rPr>
          <w:rFonts w:ascii="黑体" w:hAnsi="黑体" w:eastAsia="黑体"/>
          <w:b w:val="0"/>
          <w:color w:val="000000"/>
          <w:sz w:val="32"/>
        </w:rPr>
        <w:t>六、风险分析（重点）</w:t>
      </w:r>
    </w:p>
    <w:p>
      <w:pPr>
        <w:spacing w:lineRule="exact" w:line="600" w:before="0" w:after="0"/>
        <w:ind w:firstLine="420"/>
        <w:jc w:val="both"/>
      </w:pPr>
      <w:r>
        <w:rPr>
          <w:rFonts w:ascii="仿宋_GB2312" w:hAnsi="仿宋_GB2312" w:eastAsia="仿宋_GB2312"/>
          <w:b w:val="0"/>
          <w:color w:val="000000"/>
          <w:sz w:val="32"/>
        </w:rPr>
        <w:t>一是行业与补贴政策风险：农机需求受补贴与粮价影响。二是原料价格风险：钢材等波动挤压毛利。三是客户与回款风险：经销商模式账期长，需强化信用管理。四是市场竞争风险：耕整播机械同质化竞争，须以技术与单项冠军维持溢价。五是扩张风险：产能与市场消化需匹配。</w:t>
      </w:r>
    </w:p>
    <w:p>
      <w:pPr>
        <w:spacing w:lineRule="exact" w:line="600" w:before="120" w:after="120"/>
        <w:ind w:firstLine="420"/>
        <w:jc w:val="left"/>
      </w:pPr>
      <w:r>
        <w:rPr>
          <w:rFonts w:ascii="黑体" w:hAnsi="黑体" w:eastAsia="黑体"/>
          <w:b w:val="0"/>
          <w:color w:val="000000"/>
          <w:sz w:val="32"/>
        </w:rPr>
        <w:t>七、融资需求（与山东投资协同）</w:t>
      </w:r>
    </w:p>
    <w:p>
      <w:pPr>
        <w:spacing w:lineRule="exact" w:line="600" w:before="0" w:after="0"/>
        <w:ind w:firstLine="420"/>
        <w:jc w:val="both"/>
      </w:pPr>
      <w:r>
        <w:rPr>
          <w:rFonts w:ascii="仿宋_GB2312" w:hAnsi="仿宋_GB2312" w:eastAsia="仿宋_GB2312"/>
          <w:b w:val="0"/>
          <w:color w:val="000000"/>
          <w:sz w:val="32"/>
        </w:rPr>
        <w:t>保理业务：对经销商应收账款可开展保理。供应链金融：围绕核心零部件采购做订单融资。融资租赁：耕整机械加工与总装设备升级适合直租/回租。小贷：面向临时周转。建议以"经销商应收保理+设备融资租赁"切入，控制额度并设增信。</w:t>
      </w:r>
    </w:p>
    <w:p>
      <w:pPr>
        <w:spacing w:lineRule="exact" w:line="600" w:before="120" w:after="120"/>
        <w:ind w:firstLine="420"/>
        <w:jc w:val="left"/>
      </w:pPr>
      <w:r>
        <w:rPr>
          <w:rFonts w:ascii="黑体" w:hAnsi="黑体" w:eastAsia="黑体"/>
          <w:b w:val="0"/>
          <w:color w:val="000000"/>
          <w:sz w:val="32"/>
        </w:rPr>
        <w:t>八、综合评价、发展展望与建议</w:t>
      </w:r>
    </w:p>
    <w:p>
      <w:pPr>
        <w:spacing w:lineRule="exact" w:line="600" w:before="0" w:after="0"/>
        <w:ind w:firstLine="420"/>
        <w:jc w:val="both"/>
      </w:pPr>
      <w:r>
        <w:rPr>
          <w:rFonts w:ascii="仿宋_GB2312" w:hAnsi="仿宋_GB2312" w:eastAsia="仿宋_GB2312"/>
          <w:b w:val="0"/>
          <w:color w:val="000000"/>
          <w:sz w:val="32"/>
        </w:rPr>
        <w:t>综合评价：山东大华机械是兖州智能农机集群的耕整机械龙头，省级制造业单项冠军与隐形冠军，研发平台完备、品牌与渠道扎实，但非上市、财务透明度低、规模中等。发展展望：据行业趋势，高标准农田建设、保护性耕作与精量播种需求增长，耕整播装备市场稳健。建议：一是对接经销商应收保理与设备融资租赁；二是授信前补充规范财务资料；三是关注补贴政策与回款风险。</w:t>
      </w:r>
    </w:p>
    <w:p>
      <w:pPr>
        <w:spacing w:lineRule="exact" w:line="600" w:before="0" w:after="0"/>
        <w:jc w:val="left"/>
      </w:pPr>
      <w:r>
        <w:rPr>
          <w:rFonts w:ascii="仿宋_GB2312" w:hAnsi="仿宋_GB2312" w:eastAsia="仿宋_GB2312"/>
          <w:b w:val="0"/>
          <w:color w:val="000000"/>
          <w:sz w:val="28"/>
        </w:rPr>
        <w:t>数据来源说明：天眼查/爱企查（工商、股权、资质、专利）、公司官网 dhbl.net 与招聘信息（产品、网点、资质）、百度百科/买购网（品牌与简介）、济宁市工信局公开信息。财务数据未公开披露，已如实标注。</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