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山东省烟台市福山区新能源商用车零部件产业集群</w:t>
      </w:r>
    </w:p>
    <w:p>
      <w:pPr>
        <w:spacing w:lineRule="exact" w:line="600" w:before="240" w:after="240"/>
        <w:ind w:firstLine="0"/>
        <w:jc w:val="center"/>
      </w:pPr>
      <w:r>
        <w:rPr>
          <w:rFonts w:ascii="方正小标宋简体" w:hAnsi="方正小标宋简体" w:eastAsia="方正小标宋简体"/>
          <w:b w:val="0"/>
          <w:color w:val="000000"/>
          <w:sz w:val="44"/>
        </w:rPr>
        <w:t>中质国检（国家智能商用车质量检验检测认证基地）企业分析报告</w:t>
      </w:r>
    </w:p>
    <w:p>
      <w:pPr>
        <w:spacing w:lineRule="exact" w:line="600" w:before="0" w:after="0"/>
        <w:jc w:val="left"/>
      </w:pPr>
      <w:r>
        <w:rPr>
          <w:rFonts w:ascii="仿宋_GB2312" w:hAnsi="仿宋_GB2312" w:eastAsia="仿宋_GB2312"/>
          <w:b w:val="0"/>
          <w:color w:val="000000"/>
          <w:sz w:val="28"/>
        </w:rPr>
        <w:t>（本报告数据来源于公司年报/官网、天眼查/爱企查/企查查、国家企业信用信息公示系统、权威媒体（大众日报、新华网、齐鲁晚报、烟台广播电视台等）及公开招投标/项目信息，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国家智能商用车质量检验检测认证基地（简称"中质国检"）是位于烟台市福山区的新能源商用车零部件产业集群公共服务平台，由中质智通检测技术有限公司（总部位于江苏常州，法定代表人洪玲，注册资本5,744.4万元）负责建设与运营，其烟台分公司于2023年3月6日成立（负责人洪玲）。基地运营主体中质智通检测技术有限公司为民营检测机构，股东为江苏景旷信息科技有限公司（持股83.98%，穿透受叶佳勇控制）及多家创投/产业基金；属民营控股企业，无国有出资人。</w:t>
      </w:r>
    </w:p>
    <w:p>
      <w:pPr>
        <w:spacing w:lineRule="exact" w:line="600" w:before="0" w:after="0"/>
        <w:ind w:firstLine="420"/>
        <w:jc w:val="both"/>
      </w:pPr>
      <w:r>
        <w:rPr>
          <w:rFonts w:ascii="仿宋_GB2312" w:hAnsi="仿宋_GB2312" w:eastAsia="仿宋_GB2312"/>
          <w:b w:val="0"/>
          <w:color w:val="000000"/>
          <w:sz w:val="32"/>
        </w:rPr>
        <w:t>该基地是福山区前瞻布局的"国字号"生产性服务业平台，填补了山东长期缺乏国家级汽车检验检测认证机构的空白，使山东汽车产业链实现"研发—制造—检测认证"省内闭环。</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基地由中质智通检测技术有限公司运营，总部设董事长（叶佳勇）、董事兼经理（洪玲）等；在烟台、上海、北京、南京、广州等地设有分支机构（烟台分公司2023-03-06成立）。基地内规划整车及零部件技术研究中心、绿色低碳排放技术研究中心、智能网联及电磁兼容技术研究中心、新能源技术研究中心、电池安全技术研究中心、汽车被动安全技术研究中心六大研究中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福山区于2022年（早于潍柴弗迪签约）即前瞻性引进国家智能商用车质量检验检测认证基地，总投资超10亿元；2025年3月首批设备陆续进场，5月安装调试，7月部分车间投产试运营；截至报道时已与潍柴弗迪、潍柴新能源达成合作意向并签订千万元订单，预计全面投入运营后将成为全国第二大出口基地国际认证机构。</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面向智能驾驶与新能源商用车的国家级第三方检测认证公共服务平台，属生产性服务业。主营业务（运营主体经营范围）为汽车整车及零部件的认证检测、试验及相关业务，汽车及零部件产品的试验技术与方法研究、测试仪器设备和专用仪器计量检定、技术服务及成果转让；基地可从事汽车产品公告检验检测、交通运输部运输车辆达标车型检测，并提供覆盖欧洲CE、澳大利亚ADR等国际出口认证的市场准入测试。</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业务以检测认证服务为主，涵盖整车及零部件公告检测、达标车型检测、出口认证（CE/ADR）、研发试验与技术服务；收入来自检测费、认证费及技术服务。项目尚处投产初期，未公开披露分业务收入。</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服务：商用车整车及零部件"全面体检"式检测（车身结构、乘员保护、节能环保、智能网联、电磁兼容、电池安全、被动安全等）；商用车防护试验台（机械自动化+数据处理，验证防护装置法规符合性）；数字化实验室平台；整车出口认证（欧洲CE、澳大利亚ADR）。</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客户为新能源商用车主机厂、零部件企业及出口车企；已与潍柴弗迪、潍柴新能源达成合作意向，服务半径从胶东半岛延伸至华北；建设期即有多家外地知名车企上门洽谈，订单已排起长队。</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所需大型检测设备（如商用车防护试验台、电磁兼容暗室、电池安全测试台架等）为主要资本性采购，供应商为国内外检测设备厂商。</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基地建筑面积约18万平方米，6个单体建筑（六大研究中心）；总投资超10亿元；首批设备已进场调试，部分车间2025年7月试运营。具备汽车公告检测、达标车型检测及CE/ADR出口认证能力，深度融合人工智能搭建数字化实验室平台。运营主体具CNAS/CMA等检测资质（国家级汽车质检中心）。</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以"检测认证服务+客户就近配套"模式，依托福山新能源商用车产业园"足不出园"完成国内及出口认证，吸引高新技术企业进驻形成集聚效应。</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基地为新建公共服务平台（2025年试运营），未公开披露营收与利润；已签潍柴弗迪千万元订单，潜在客户众多、订单充足。作为山东唯一"国字号"汽车检测认证平台，市场稀缺性极高，预计成为全国第二大出口基地国际认证机构。</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中质国检为新建检测认证公共服务平台，运营主体中质智通检测技术有限公司为非上市民营企业，基地近三年完整财务未公开披露；以下列公开项目与工商信息，不作财务数据编造。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运营主体注册资本</w:t>
            </w:r>
          </w:p>
        </w:tc>
        <w:tc>
          <w:tcPr>
            <w:tcW w:type="dxa" w:w="6236"/>
          </w:tcPr>
          <w:p>
            <w:pPr>
              <w:spacing w:lineRule="exact" w:line="600"/>
              <w:jc w:val="center"/>
            </w:pPr>
            <w:r/>
            <w:r>
              <w:rPr>
                <w:rFonts w:ascii="仿宋_GB2312" w:hAnsi="仿宋_GB2312" w:eastAsia="仿宋_GB2312"/>
                <w:b w:val="0"/>
                <w:color w:val="000000"/>
                <w:sz w:val="32"/>
              </w:rPr>
              <w:t>5,744.4万元（中质智通）</w:t>
            </w:r>
          </w:p>
        </w:tc>
      </w:tr>
      <w:tr>
        <w:tc>
          <w:tcPr>
            <w:tcW w:type="dxa" w:w="2551"/>
          </w:tcPr>
          <w:p>
            <w:pPr>
              <w:spacing w:lineRule="exact" w:line="600"/>
              <w:jc w:val="center"/>
            </w:pPr>
            <w:r/>
            <w:r>
              <w:rPr>
                <w:rFonts w:ascii="仿宋_GB2312" w:hAnsi="仿宋_GB2312" w:eastAsia="仿宋_GB2312"/>
                <w:b w:val="0"/>
                <w:color w:val="000000"/>
                <w:sz w:val="32"/>
              </w:rPr>
              <w:t>基地总投资</w:t>
            </w:r>
          </w:p>
        </w:tc>
        <w:tc>
          <w:tcPr>
            <w:tcW w:type="dxa" w:w="6236"/>
          </w:tcPr>
          <w:p>
            <w:pPr>
              <w:spacing w:lineRule="exact" w:line="600"/>
              <w:jc w:val="center"/>
            </w:pPr>
            <w:r/>
            <w:r>
              <w:rPr>
                <w:rFonts w:ascii="仿宋_GB2312" w:hAnsi="仿宋_GB2312" w:eastAsia="仿宋_GB2312"/>
                <w:b w:val="0"/>
                <w:color w:val="000000"/>
                <w:sz w:val="32"/>
              </w:rPr>
              <w:t>超10亿元</w:t>
            </w:r>
          </w:p>
        </w:tc>
      </w:tr>
      <w:tr>
        <w:tc>
          <w:tcPr>
            <w:tcW w:type="dxa" w:w="2551"/>
          </w:tcPr>
          <w:p>
            <w:pPr>
              <w:spacing w:lineRule="exact" w:line="600"/>
              <w:jc w:val="center"/>
            </w:pPr>
            <w:r/>
            <w:r>
              <w:rPr>
                <w:rFonts w:ascii="仿宋_GB2312" w:hAnsi="仿宋_GB2312" w:eastAsia="仿宋_GB2312"/>
                <w:b w:val="0"/>
                <w:color w:val="000000"/>
                <w:sz w:val="32"/>
              </w:rPr>
              <w:t>建筑面积</w:t>
            </w:r>
          </w:p>
        </w:tc>
        <w:tc>
          <w:tcPr>
            <w:tcW w:type="dxa" w:w="6236"/>
          </w:tcPr>
          <w:p>
            <w:pPr>
              <w:spacing w:lineRule="exact" w:line="600"/>
              <w:jc w:val="center"/>
            </w:pPr>
            <w:r/>
            <w:r>
              <w:rPr>
                <w:rFonts w:ascii="仿宋_GB2312" w:hAnsi="仿宋_GB2312" w:eastAsia="仿宋_GB2312"/>
                <w:b w:val="0"/>
                <w:color w:val="000000"/>
                <w:sz w:val="32"/>
              </w:rPr>
              <w:t>约18万平方米（6个单体）</w:t>
            </w:r>
          </w:p>
        </w:tc>
      </w:tr>
      <w:tr>
        <w:tc>
          <w:tcPr>
            <w:tcW w:type="dxa" w:w="2551"/>
          </w:tcPr>
          <w:p>
            <w:pPr>
              <w:spacing w:lineRule="exact" w:line="600"/>
              <w:jc w:val="center"/>
            </w:pPr>
            <w:r/>
            <w:r>
              <w:rPr>
                <w:rFonts w:ascii="仿宋_GB2312" w:hAnsi="仿宋_GB2312" w:eastAsia="仿宋_GB2312"/>
                <w:b w:val="0"/>
                <w:color w:val="000000"/>
                <w:sz w:val="32"/>
              </w:rPr>
              <w:t>烟台分公司成立</w:t>
            </w:r>
          </w:p>
        </w:tc>
        <w:tc>
          <w:tcPr>
            <w:tcW w:type="dxa" w:w="6236"/>
          </w:tcPr>
          <w:p>
            <w:pPr>
              <w:spacing w:lineRule="exact" w:line="600"/>
              <w:jc w:val="center"/>
            </w:pPr>
            <w:r/>
            <w:r>
              <w:rPr>
                <w:rFonts w:ascii="仿宋_GB2312" w:hAnsi="仿宋_GB2312" w:eastAsia="仿宋_GB2312"/>
                <w:b w:val="0"/>
                <w:color w:val="000000"/>
                <w:sz w:val="32"/>
              </w:rPr>
              <w:t>2023-03-06</w:t>
            </w:r>
          </w:p>
        </w:tc>
      </w:tr>
      <w:tr>
        <w:tc>
          <w:tcPr>
            <w:tcW w:type="dxa" w:w="2551"/>
          </w:tcPr>
          <w:p>
            <w:pPr>
              <w:spacing w:lineRule="exact" w:line="600"/>
              <w:jc w:val="center"/>
            </w:pPr>
            <w:r/>
            <w:r>
              <w:rPr>
                <w:rFonts w:ascii="仿宋_GB2312" w:hAnsi="仿宋_GB2312" w:eastAsia="仿宋_GB2312"/>
                <w:b w:val="0"/>
                <w:color w:val="000000"/>
                <w:sz w:val="32"/>
              </w:rPr>
              <w:t>已签订单</w:t>
            </w:r>
          </w:p>
        </w:tc>
        <w:tc>
          <w:tcPr>
            <w:tcW w:type="dxa" w:w="6236"/>
          </w:tcPr>
          <w:p>
            <w:pPr>
              <w:spacing w:lineRule="exact" w:line="600"/>
              <w:jc w:val="center"/>
            </w:pPr>
            <w:r/>
            <w:r>
              <w:rPr>
                <w:rFonts w:ascii="仿宋_GB2312" w:hAnsi="仿宋_GB2312" w:eastAsia="仿宋_GB2312"/>
                <w:b w:val="0"/>
                <w:color w:val="000000"/>
                <w:sz w:val="32"/>
              </w:rPr>
              <w:t>潍柴弗迪千万元级</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未公开披露（试运营期）</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财务数据未公开披露。检测认证属高毛利生产性服务业，重资产（设备）投入大、折旧高，达产后随检测量提升盈利改善；平台稀缺性与订单充足支撑长期盈利。</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无公开资产数据。重资产属性，固定资产（检测设备、实验厂房）占比高，与10亿级投资匹配。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无公开负债数据。基地建设依赖股东出资与项目融资，需关注资本开支与偿债安排。</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无公开现金流数据。建设期现金流为负，投产后随检测服务回款转正。</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作为山东唯一国家级汽车检测认证平台，填补省内空白，相较上海、天津等外地检测机构具备"就近、降本、提效"的区位优势，是福山集群"研发—制造—检测"闭环的关键一环。</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运营主体中质智通检测技术有限公司为民营检测机构，设董事长（叶佳勇）、董事兼经理（洪玲）、监事（张雁萍）；基地重大事项由运营主体决策，落实第三方检测独立性与公正性要求。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运营主体法定代表人、董事兼经理洪玲（同时任各分公司负责人）；董事长叶佳勇；基地项目负责人王勇祥、运营总监洪玲（公开报道）。管理层具检测行业资深背景。</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检测认证机构须建立严格质量体系与数据公正性内控，具备CNAS/CMA资质管理要求；基地搭建数字化实验室平台提升管理与能力。</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运营主体参保约44人（总部），基地扩建后技术人才扩充；融合AI的数字化实验室需高端检测与软件人才，并与南京航空航天大学院士团队等合作。</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稀缺平台壁垒：山东唯一国家级智能商用车检测认证平台，填补省内空白，具不可替代性。二是资质与能力：覆盖整车公告、达标车型、CE/ADR出口认证，六大研究中心齐全。三是AI数字化：搭建最智能数字化实验室平台，结合智能汽车趋势。四是集群协同："足不出园"服务潍柴弗迪等链主，订单充足、集聚效应强。五是前瞻布局：早于链主签约落子，卡位产业链关键环节。</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建设运营风险：重资产投入、达产节奏与检测量爬坡存在不确定性。二是技术与标准风险：汽车标准（尤其智能网联、出口认证）快速迭代，须持续跟进。三是客户集中风险：初期依赖潍柴弗迪等本地链主，外部市场开拓待验证。四是人才风险：高端检测与AI人才稀缺，需持续引进。五是合规风险：检测数据公正性与资质维持要求高，须严格内控。</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主机厂的检测认证应收账款账期较长，可开展保理。供应链金融：围绕检测设备采购与平台运营提供融资。融资租赁：大型检测设备（暗室、台架）投资大，适合设备直租/回租，山东投资可重点对接；并匹配数字化实验室建设融资。小贷：面向中小检测配套企业短贷。鉴于平台稀缺性与订单充足，建议以"检测设备融资租赁+平台供应链金融"切入，关注达产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中质国检是福山新能源商用车零部件集群稀缺的"国字号"检测认证公共服务平台，填补山东空白、卡位产业链关键环，稀缺性与订单确定性突出，但重资产、处试运营、财务未公开。发展展望：据行业趋势与政策导向，汽车电动化、网联化、智能化提升检测需求，基地全面运营后有望成全国第二大出口认证机构。建议：一是对接检测设备融资租赁与平台供应链金融；二是关注达产进度、检测量与回款；三是利用平台集聚效应，链接链主潍柴弗迪及上下游企业形成业务网络。</w:t>
      </w:r>
    </w:p>
    <w:p>
      <w:pPr>
        <w:spacing w:lineRule="exact" w:line="600" w:before="0" w:after="0"/>
        <w:jc w:val="left"/>
      </w:pPr>
      <w:r>
        <w:rPr>
          <w:rFonts w:ascii="仿宋_GB2312" w:hAnsi="仿宋_GB2312" w:eastAsia="仿宋_GB2312"/>
          <w:b w:val="0"/>
          <w:color w:val="000000"/>
          <w:sz w:val="28"/>
        </w:rPr>
        <w:t>数据来源说明：新华网/大众日报（2025-03-24基地探访）、齐鲁晚报/齐鲁壹点、大众网（福山产业生态报道）、天眼查/爱企查（运营主体中质智通工商、股权、分支机构）、烟台广播电视台。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