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山东省烟台市福山区新能源商用车零部件产业集群</w:t>
      </w:r>
    </w:p>
    <w:p>
      <w:pPr>
        <w:spacing w:lineRule="exact" w:line="600" w:before="240" w:after="240"/>
        <w:ind w:firstLine="0"/>
        <w:jc w:val="center"/>
      </w:pPr>
      <w:r>
        <w:rPr>
          <w:rFonts w:ascii="方正小标宋简体" w:hAnsi="方正小标宋简体" w:eastAsia="方正小标宋简体"/>
          <w:b w:val="0"/>
          <w:color w:val="000000"/>
          <w:sz w:val="44"/>
        </w:rPr>
        <w:t>潍柴弗迪电池有限公司企业分析报告</w:t>
      </w:r>
    </w:p>
    <w:p>
      <w:pPr>
        <w:spacing w:lineRule="exact" w:line="600" w:before="0" w:after="0"/>
        <w:jc w:val="left"/>
      </w:pPr>
      <w:r>
        <w:rPr>
          <w:rFonts w:ascii="仿宋_GB2312" w:hAnsi="仿宋_GB2312" w:eastAsia="仿宋_GB2312"/>
          <w:b w:val="0"/>
          <w:color w:val="000000"/>
          <w:sz w:val="28"/>
        </w:rPr>
        <w:t>（本报告数据来源于公司年报/官网、天眼查/爱企查/企查查、国家企业信用信息公示系统、权威媒体（大众日报、新华网、齐鲁晚报、烟台广播电视台等）及公开招投标/项目信息，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潍柴弗迪电池有限公司成立于2023年10月13日，法定代表人王迎波（设立初期为冯刚），统一社会信用代码91370611MAD1NMJ91C，企业类型为其他有限责任公司，注册资本100,000万元人民币，注册地址位于山东省烟台市福山区永达街881号福山园管理委员会办公楼2层202室，登记机关为烟台市福山区市场监督管理局，经营状态为存续（营业期限至2043年10月12日）。参保人数约873人。</w:t>
      </w:r>
    </w:p>
    <w:p>
      <w:pPr>
        <w:spacing w:lineRule="exact" w:line="600" w:before="0" w:after="0"/>
        <w:ind w:firstLine="420"/>
        <w:jc w:val="both"/>
      </w:pPr>
      <w:r>
        <w:rPr>
          <w:rFonts w:ascii="仿宋_GB2312" w:hAnsi="仿宋_GB2312" w:eastAsia="仿宋_GB2312"/>
          <w:b w:val="0"/>
          <w:color w:val="000000"/>
          <w:sz w:val="32"/>
        </w:rPr>
        <w:t>股权结构（强强联合）：弗迪电池有限公司持股51%（穿透受比亚迪股份有限公司100%控制），潍柴新能源动力科技有限公司持股49%（穿透受潍柴动力股份有限公司持股70%、中国重汽集团氢动能汽车创新中心有限公司持股30%）。即公司由比亚迪（世界500强）与潍柴动力（世界500强）两大央企/国企体系间接共同持股，比亚迪系为第一大股东。属混合所有制、兼具民营（比亚迪）与国有（潍柴动力/山东重工体系）背景的合资企业，无单一自然人实控人，重大事项由双方股东按合资协议与"三重一大"原则决策。</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作为潍柴（烟台）新能源动力产业园的电池项目载体，设董事（王迎波等）、经营管理层；下辖电芯、PACK制造、研发、回收梯次利用等职能板块；依托弗迪电池的研发制造体系与潍柴动力的商用车应用场景协同运营。</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2023年10月13日比亚迪与潍柴动力合资成立（注册资本10亿元）；2023年11月初潍柴（烟台）新能源动力产业园正式开工，一期占地1007亩；2025年3月28日首台电池包（WEB602V160，专为轻卡打造）正式下线，标志一期项目投产；项目以"百日封顶、周年量产"节奏推进，刷新新能源产业园区建设纪录。</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面向新能源商用车动力电池与储能电池的研发、制造、销售及电池回收梯次利用的合资龙头企业，是福山区新能源商用车零部件产业集群的链主配套核心。主营业务为电池制造、电池销售、技术服务与开发、新能源汽车废旧动力蓄电池回收及梯次利用（不含危险废物经营）、设备与仓储租赁、货物进出口等。核心技术采用比亚迪成熟的刀片电池技术。</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业务以新能源商用车动力电池（电芯+电池PACK）为核心，并涵盖储能电池、电池回收梯次利用及技术咨询服务。项目全部建成后形成"电芯—PACK—电机电控"完整动力产业链。公司未公开披露分产品收入。</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采用比亚迪刀片电池技术的商用车动力电池，首款下线WEB602V160电池包专为轻卡市场打造，单包电量覆盖30—200kWh，系统可扩展至1000kWh，可为从轻卡到百吨级重卡乃至工程机械提供动力；搭载该电池的潍柴新能源蓝擎悦EH Pro轻卡最大续航约320公里。同时开展电池回收梯次利用。</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依托潍柴动力及山东重工体系（陕汽、中国重汽、中通客车等）商用车资源，产品导入商用车体系；同时面向外部新能源商用车与储能客户。客户以商用车主机厂与储能集成商为主。</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生产所需电芯正负极材料、隔膜、电解液、结构件等为主要采购对象，核心电芯技术由弗迪电池体系供应，配套原材料供应商体系成熟。</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潍柴（烟台）新能源动力产业园项目占地约1,700亩、固定资产投资超170亿元、分三期建设；全部建成后将具备年产50GWh电芯及50GWh电池PACK能力，并生产电机、电控等核心部件。一期占地1007亩、建成20GWh电芯及PACK产线（约年产30万套商用车动力电池系统），2025年3月投产，截至2026年2月单品品种已突破100万。持有电池制造、回收梯次利用等相关资质。</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以"合资股东协同+主机厂直供"模式销售，依托潍柴动力商用车渠道与比亚迪电池海外网络，就近配套山东及全国新能源商用车基地。</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新设合资企业（2023年成立），处于产能爬坡期，未公开披露独立营收与利润。项目规划50GWh产能、固投超170亿元，目标打造全球最大的商用车专用电池生产基地之一；2026年2月单品突破100万，产能释放迅速。注：公司非上市公司，近三年完整财务未单独披露。</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潍柴弗迪电池有限公司为2023年新设的非上市合资企业，处于建设投产爬坡期，近三年完整财务报表未公开披露；以下列公开项目与工商信息，不作财务数据编造。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100,000万元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2023-10-13</w:t>
            </w:r>
          </w:p>
        </w:tc>
      </w:tr>
      <w:tr>
        <w:tc>
          <w:tcPr>
            <w:tcW w:type="dxa" w:w="2551"/>
          </w:tcPr>
          <w:p>
            <w:pPr>
              <w:spacing w:lineRule="exact" w:line="600"/>
              <w:jc w:val="center"/>
            </w:pPr>
            <w:r/>
            <w:r>
              <w:rPr>
                <w:rFonts w:ascii="仿宋_GB2312" w:hAnsi="仿宋_GB2312" w:eastAsia="仿宋_GB2312"/>
                <w:b w:val="0"/>
                <w:color w:val="000000"/>
                <w:sz w:val="32"/>
              </w:rPr>
              <w:t>股东</w:t>
            </w:r>
          </w:p>
        </w:tc>
        <w:tc>
          <w:tcPr>
            <w:tcW w:type="dxa" w:w="6236"/>
          </w:tcPr>
          <w:p>
            <w:pPr>
              <w:spacing w:lineRule="exact" w:line="600"/>
              <w:jc w:val="center"/>
            </w:pPr>
            <w:r/>
            <w:r>
              <w:rPr>
                <w:rFonts w:ascii="仿宋_GB2312" w:hAnsi="仿宋_GB2312" w:eastAsia="仿宋_GB2312"/>
                <w:b w:val="0"/>
                <w:color w:val="000000"/>
                <w:sz w:val="32"/>
              </w:rPr>
              <w:t>弗迪电池51% / 潍柴新能源49%</w:t>
            </w:r>
          </w:p>
        </w:tc>
      </w:tr>
      <w:tr>
        <w:tc>
          <w:tcPr>
            <w:tcW w:type="dxa" w:w="2551"/>
          </w:tcPr>
          <w:p>
            <w:pPr>
              <w:spacing w:lineRule="exact" w:line="600"/>
              <w:jc w:val="center"/>
            </w:pPr>
            <w:r/>
            <w:r>
              <w:rPr>
                <w:rFonts w:ascii="仿宋_GB2312" w:hAnsi="仿宋_GB2312" w:eastAsia="仿宋_GB2312"/>
                <w:b w:val="0"/>
                <w:color w:val="000000"/>
                <w:sz w:val="32"/>
              </w:rPr>
              <w:t>产业园固投</w:t>
            </w:r>
          </w:p>
        </w:tc>
        <w:tc>
          <w:tcPr>
            <w:tcW w:type="dxa" w:w="6236"/>
          </w:tcPr>
          <w:p>
            <w:pPr>
              <w:spacing w:lineRule="exact" w:line="600"/>
              <w:jc w:val="center"/>
            </w:pPr>
            <w:r/>
            <w:r>
              <w:rPr>
                <w:rFonts w:ascii="仿宋_GB2312" w:hAnsi="仿宋_GB2312" w:eastAsia="仿宋_GB2312"/>
                <w:b w:val="0"/>
                <w:color w:val="000000"/>
                <w:sz w:val="32"/>
              </w:rPr>
              <w:t>超170亿元（分三期）</w:t>
            </w:r>
          </w:p>
        </w:tc>
      </w:tr>
      <w:tr>
        <w:tc>
          <w:tcPr>
            <w:tcW w:type="dxa" w:w="2551"/>
          </w:tcPr>
          <w:p>
            <w:pPr>
              <w:spacing w:lineRule="exact" w:line="600"/>
              <w:jc w:val="center"/>
            </w:pPr>
            <w:r/>
            <w:r>
              <w:rPr>
                <w:rFonts w:ascii="仿宋_GB2312" w:hAnsi="仿宋_GB2312" w:eastAsia="仿宋_GB2312"/>
                <w:b w:val="0"/>
                <w:color w:val="000000"/>
                <w:sz w:val="32"/>
              </w:rPr>
              <w:t>规划产能</w:t>
            </w:r>
          </w:p>
        </w:tc>
        <w:tc>
          <w:tcPr>
            <w:tcW w:type="dxa" w:w="6236"/>
          </w:tcPr>
          <w:p>
            <w:pPr>
              <w:spacing w:lineRule="exact" w:line="600"/>
              <w:jc w:val="center"/>
            </w:pPr>
            <w:r/>
            <w:r>
              <w:rPr>
                <w:rFonts w:ascii="仿宋_GB2312" w:hAnsi="仿宋_GB2312" w:eastAsia="仿宋_GB2312"/>
                <w:b w:val="0"/>
                <w:color w:val="000000"/>
                <w:sz w:val="32"/>
              </w:rPr>
              <w:t>50GWh电芯 + 50GWh PACK</w:t>
            </w:r>
          </w:p>
        </w:tc>
      </w:tr>
      <w:tr>
        <w:tc>
          <w:tcPr>
            <w:tcW w:type="dxa" w:w="2551"/>
          </w:tcPr>
          <w:p>
            <w:pPr>
              <w:spacing w:lineRule="exact" w:line="600"/>
              <w:jc w:val="center"/>
            </w:pPr>
            <w:r/>
            <w:r>
              <w:rPr>
                <w:rFonts w:ascii="仿宋_GB2312" w:hAnsi="仿宋_GB2312" w:eastAsia="仿宋_GB2312"/>
                <w:b w:val="0"/>
                <w:color w:val="000000"/>
                <w:sz w:val="32"/>
              </w:rPr>
              <w:t>一期产能</w:t>
            </w:r>
          </w:p>
        </w:tc>
        <w:tc>
          <w:tcPr>
            <w:tcW w:type="dxa" w:w="6236"/>
          </w:tcPr>
          <w:p>
            <w:pPr>
              <w:spacing w:lineRule="exact" w:line="600"/>
              <w:jc w:val="center"/>
            </w:pPr>
            <w:r/>
            <w:r>
              <w:rPr>
                <w:rFonts w:ascii="仿宋_GB2312" w:hAnsi="仿宋_GB2312" w:eastAsia="仿宋_GB2312"/>
                <w:b w:val="0"/>
                <w:color w:val="000000"/>
                <w:sz w:val="32"/>
              </w:rPr>
              <w:t>20GWh（2025-03投产）</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未公开披露（爬坡期）</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财务数据未公开披露。动力电池行业前期资本开支大、折旧高，一期投产后随产能利用率提升盈利将逐步释放；刀片电池技术溢价与商用车专用定位支撑毛利。</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无公开资产数据。重资产属性突出，固定资产（厂房、电芯/PACK产线、设备）占总资产绝大部分，与170亿级固投匹配。</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无公开负债数据。项目资本开支巨大，预计依赖股东出资、银行借款与项目融资，需关注杠杆与偿债能力；两大世界500强股东信用背书强。</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无公开现金流数据。建设期经营性现金流为负、依赖融资，投产后随销售回款改善。</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集群创明北方（圆柱电池、3,000万注册资本小型）相比，潍柴弗迪体量与背景悬殊，是集群链主级核心；与行业宁德时代、比亚迪外供相比，其定位"商用车专用电池"差异化，依托潍柴商用车场景具备稳定出海口。</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其他有限责任公司，设董事（王迎波等）与经营管理层；重大事项由弗迪电池（比亚迪）与潍柴新能源（潍柴动力）双方股东按合资协议决策，落实国资监管与"三重一大"程序（潍柴动力侧）。</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法定代表人王迎波（设立初期法定代表人冯刚）；经营依托弗迪电池制造体系与潍柴动力商用车团队协同。</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动力电池属高危制造，须建立安全生产与质量内控体系；依托比亚迪成熟电芯制造管理体系和潍柴动力合规体系，规范化程度高。</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参保约873人（2024年口径约277人，随产能释放快速扩充），以生产、技术与研发人员为主；依托两大股东人才与产业链资源。</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股东与背景壁垒：比亚迪（刀片电池技术）+潍柴动力（商用车场景）两大世界500强强强联合，技术、资本、市场三重加持。二是技术与产品：比亚迪成熟刀片电池技术，高安全、长寿命、快充，系统可扩展至1000kWh覆盖轻卡到百吨重卡。三是产能与项目：170亿级固投、50GWh规划、一期20GWh已投产，目标全球最大商用车专用电池基地之一。四是应用闭环：依托潍柴/山东重工商用车体系（陕汽、重汽、中通）稳定出海口。五是集群链主：福山新能源商用车零部件集群核心，带动上下游集聚。</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与价格风险：动力电池产能过剩、价格战激烈，单位盈利承压；应对为聚焦商用车专用差异化与股东出海口。二是技术迭代风险：固态/钠离子等技术演进，须持续研发。三是安全与环保风险（重点）：电芯制造、回收涉及安全环保合规，须持续投入。四是客户集中风险：依赖股东商用车体系，外部市场开拓待验证。五是资金风险：170亿级资本开支，杠杆与现金流承压；应对为股东出资+项目融资组合。</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商用车主机厂的销售应收账款可开展保理。供应链金融：依托链主地位，为上游材料、设备供应商提供订单与存货融资。融资租赁：50GWh产线设备投资巨大，适合设备直租/回租，山东投资可重点对接；并匹配电池回收产线融资。小贷：面向中小配套供应商短贷。鉴于企业背靠两大世界500强、属集群链主，建议以"项目设备融资租赁+供应链金融"为主切入，关注项目资本金与现金流安排。</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潍柴弗迪电池是福山新能源商用车零部件集群的链主级核心，由比亚迪与潍柴动力两大世界500强合资，技术、资本、场景优势突出，一期20GWh已投产、成长确定性高；但处重资产爬坡期、财务未公开、行业价格战与资金压力大。发展展望：据公司规划与行业趋势，50GWh full capacity 释放后将成全球最大商用车专用电池基地之一，受益商用车电动化。建议：一是对接产线设备融资租赁与供应链金融；二是关注项目资本金、现金流与价格战对盈利影响；三是以股东信用为前提、设置增信与动态监测。</w:t>
      </w:r>
    </w:p>
    <w:p>
      <w:pPr>
        <w:spacing w:lineRule="exact" w:line="600" w:before="0" w:after="0"/>
        <w:jc w:val="left"/>
      </w:pPr>
      <w:r>
        <w:rPr>
          <w:rFonts w:ascii="仿宋_GB2312" w:hAnsi="仿宋_GB2312" w:eastAsia="仿宋_GB2312"/>
          <w:b w:val="0"/>
          <w:color w:val="000000"/>
          <w:sz w:val="28"/>
        </w:rPr>
        <w:t>数据来源说明：天眼查/爱企查（工商、股权穿透）、比亚迪/潍柴动力公告与媒体报道（合资成立、产业园投产）、烟台广播电视台/烟台日报、ChemNews（一期20GWh投产、刀片电池技术）、福山区政府公开信息。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