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山东省聊城市茌平区铝制功能部件产业集群</w:t>
      </w:r>
    </w:p>
    <w:p>
      <w:pPr>
        <w:spacing w:lineRule="exact" w:line="600" w:before="240" w:after="240"/>
        <w:ind w:firstLine="0"/>
        <w:jc w:val="center"/>
      </w:pPr>
      <w:r>
        <w:rPr>
          <w:rFonts w:ascii="方正小标宋简体" w:hAnsi="方正小标宋简体" w:eastAsia="方正小标宋简体"/>
          <w:b w:val="0"/>
          <w:color w:val="000000"/>
          <w:sz w:val="44"/>
        </w:rPr>
        <w:t>茌平鲁环汽车散热器有限公司企业分析报告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爱企查、水滴信用、公司官网及权威媒体（新华网山东频道、茌平区政府网、冠县政府网、高校就业网、东方财富/同花顺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茌平鲁环汽车散热器有限公司成立于2001年6月4日，法定代表人于飞（2024年由原法定代表人于相涛变更），统一社会信用代码913715007286315184，企业类型为有限责任公司（自然人投资或控股），注册资本3,000万元人民币，登记机关为聊城市茌平区市场监督管理局，经营状态存续。</w:t>
      </w:r>
    </w:p>
    <w:p>
      <w:pPr>
        <w:spacing w:lineRule="exact" w:line="600" w:before="0" w:after="0"/>
        <w:ind w:firstLine="420"/>
        <w:jc w:val="both"/>
      </w:pPr>
      <w:r>
        <w:rPr>
          <w:rFonts w:ascii="仿宋_GB2312" w:hAnsi="仿宋_GB2312" w:eastAsia="仿宋_GB2312"/>
          <w:b w:val="0"/>
          <w:color w:val="000000"/>
          <w:sz w:val="32"/>
        </w:rPr>
        <w:t>注册地址位于山东省聊城市茌平县热电民营工业园区，经营范围为汽车零部件及配件制造、研发、零售及货物进出口。公司具自营进出口权，为一般纳税人。</w:t>
      </w:r>
    </w:p>
    <w:p>
      <w:pPr>
        <w:spacing w:lineRule="exact" w:line="600" w:before="0" w:after="0"/>
        <w:ind w:firstLine="420"/>
        <w:jc w:val="both"/>
      </w:pPr>
      <w:r>
        <w:rPr>
          <w:rFonts w:ascii="仿宋_GB2312" w:hAnsi="仿宋_GB2312" w:eastAsia="仿宋_GB2312"/>
          <w:b w:val="0"/>
          <w:color w:val="000000"/>
          <w:sz w:val="32"/>
        </w:rPr>
        <w:t>股权结构：据公开工商信息，山东宇洋汽车尾气净化装置有限公司认缴2,673万元、持股约89.1%，于相涛认缴327万元、持股约10.9%，为民营控股。截至2024年，公司占地115,000平方米、建筑面积36,000平方米，职工约432人（其中专业技术人员260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公司设有研发、生产、质量、销售等职能，建有3,800平方米汽车散热器性能实验中心，引入鼎捷ERP质量管理子系统，并通过ERP、MES、WMS、FineReport等智能化管理系统构建智能工厂架构。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2001年成立，2006年通过英国NQA的IATF16949质量管理体系认证；2013年被认定为"一企一技术"创新型企业，"华环"商标获"山东省著名商标"；2014年汽车铝塑散热器工程实验室获山东省发改委认定为省级工程实验室；2019年通过ISO14001、ISO45001体系认证；2022年通过两化融合管理体系评定；2023年被评为国家级高新技术企业并入选市级智能工厂；2024年法定代表人变更、创建市级绿色工厂；2025年被山东省工信厅评定为"制造业单项冠军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集研发、生产、销售、服务于一体的生产型进出口国家级高新技术企业"，专注汽车热交换系统零部件。主导产品为汽车散热器、汽车空调冷凝器、汽车中冷器、散热器用塑胶水室四大系列，产品型号超1,300种。</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业务以汽车散热器（主水箱）、中冷器、空调冷凝器、塑胶水室四大产品线为主，配套乘用车与商用车，并以出口为导向。具体收入构成未公开披露。</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主导产品为汽车铝塑散热器、汽车空调冷凝器、汽车中冷器、散热器用塑胶水室，覆盖1,300余种型号，服务发动机冷却与空调热泵系统。</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公司产品面向国内外整车及售后市场。作为国家级高新技术企业、省级单项冠军，客户涵盖主机厂配套与出口渠道，具体主机厂名单未公开；公司获评市级智能工厂与绿色工厂，质量体系满足汽车行业要求。</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关键原材料铝带、铝管采用中美合资企业奥科宁克铝业公司供应，保障材料一致性与可追溯性；其他辅料与设备就近采购。</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公司占地11.5万平方米、建筑面积3.6万平方米，建有3,800平方米实验中心（风洞、传热、振动、压力脉冲、爆破、盐雾等十多套试验设备）。持有IATF16949、ISO14001、ISO45001、两化融合管理体系认证，省级工程实验室、省级智能工厂、市级绿色工厂、山东省制造业单项冠军等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公司具备自营进出口权，产品出口海外；国内通过销售与技术服务团队对接主机厂与售后_network，提供从选型、检测到质保的全流程服务。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公司为非上市企业，审计财务未公开。公开资料显示其为国家级高新技术企业、山东省制造业单项冠军、省级专精特新中小企业，职工约432人，在汽车铝制散热器细分领域具较强竞争力，具体市占率未公开。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指标</w:t>
            </w:r>
          </w:p>
        </w:tc>
        <w:tc>
          <w:tcPr>
            <w:tcW w:type="dxa" w:w="2041"/>
          </w:tcPr>
          <w:p>
            <w:pPr>
              <w:spacing w:lineRule="exact" w:line="600"/>
              <w:jc w:val="center"/>
            </w:pPr>
            <w:r/>
            <w:r>
              <w:rPr>
                <w:rFonts w:ascii="黑体" w:hAnsi="黑体" w:eastAsia="黑体"/>
                <w:b/>
                <w:color w:val="000000"/>
                <w:sz w:val="32"/>
              </w:rPr>
              <w:t>2022年</w:t>
            </w:r>
          </w:p>
        </w:tc>
        <w:tc>
          <w:tcPr>
            <w:tcW w:type="dxa" w:w="2041"/>
          </w:tcPr>
          <w:p>
            <w:pPr>
              <w:spacing w:lineRule="exact" w:line="600"/>
              <w:jc w:val="center"/>
            </w:pPr>
            <w:r/>
            <w:r>
              <w:rPr>
                <w:rFonts w:ascii="黑体" w:hAnsi="黑体" w:eastAsia="黑体"/>
                <w:b/>
                <w:color w:val="000000"/>
                <w:sz w:val="32"/>
              </w:rPr>
              <w:t>2023年</w:t>
            </w:r>
          </w:p>
        </w:tc>
        <w:tc>
          <w:tcPr>
            <w:tcW w:type="dxa" w:w="2041"/>
          </w:tcPr>
          <w:p>
            <w:pPr>
              <w:spacing w:lineRule="exact" w:line="600"/>
              <w:jc w:val="center"/>
            </w:pPr>
            <w:r/>
            <w:r>
              <w:rPr>
                <w:rFonts w:ascii="黑体" w:hAnsi="黑体" w:eastAsia="黑体"/>
                <w:b/>
                <w:color w:val="000000"/>
                <w:sz w:val="32"/>
              </w:rPr>
              <w:t>2024年</w:t>
            </w:r>
          </w:p>
        </w:tc>
      </w:tr>
      <w:tr>
        <w:tc>
          <w:tcPr>
            <w:tcW w:type="dxa" w:w="2835"/>
          </w:tcPr>
          <w:p>
            <w:pPr>
              <w:spacing w:lineRule="exact" w:line="600"/>
              <w:jc w:val="center"/>
            </w:pPr>
            <w:r/>
            <w:r>
              <w:rPr>
                <w:rFonts w:ascii="仿宋_GB2312" w:hAnsi="仿宋_GB2312" w:eastAsia="仿宋_GB2312"/>
                <w:b w:val="0"/>
                <w:color w:val="000000"/>
                <w:sz w:val="32"/>
              </w:rPr>
              <w:t>总资产（亿元）</w:t>
            </w:r>
          </w:p>
        </w:tc>
        <w:tc>
          <w:tcPr>
            <w:tcW w:type="dxa" w:w="2041"/>
          </w:tcPr>
          <w:p>
            <w:pPr>
              <w:spacing w:lineRule="exact" w:line="600"/>
              <w:jc w:val="center"/>
            </w:pPr>
            <w:r/>
            <w:r>
              <w:rPr>
                <w:rFonts w:ascii="仿宋_GB2312" w:hAnsi="仿宋_GB2312" w:eastAsia="仿宋_GB2312"/>
                <w:b w:val="0"/>
                <w:color w:val="000000"/>
                <w:sz w:val="32"/>
              </w:rPr>
              <w:t>未公开</w:t>
            </w:r>
          </w:p>
        </w:tc>
        <w:tc>
          <w:tcPr>
            <w:tcW w:type="dxa" w:w="2041"/>
          </w:tcPr>
          <w:p>
            <w:pPr>
              <w:spacing w:lineRule="exact" w:line="600"/>
              <w:jc w:val="center"/>
            </w:pPr>
            <w:r/>
            <w:r>
              <w:rPr>
                <w:rFonts w:ascii="仿宋_GB2312" w:hAnsi="仿宋_GB2312" w:eastAsia="仿宋_GB2312"/>
                <w:b w:val="0"/>
                <w:color w:val="000000"/>
                <w:sz w:val="32"/>
              </w:rPr>
              <w:t>未公开</w:t>
            </w:r>
          </w:p>
        </w:tc>
        <w:tc>
          <w:tcPr>
            <w:tcW w:type="dxa" w:w="2041"/>
          </w:tcPr>
          <w:p>
            <w:pPr>
              <w:spacing w:lineRule="exact" w:line="600"/>
              <w:jc w:val="center"/>
            </w:pPr>
            <w:r/>
            <w:r>
              <w:rPr>
                <w:rFonts w:ascii="仿宋_GB2312" w:hAnsi="仿宋_GB2312" w:eastAsia="仿宋_GB2312"/>
                <w:b w:val="0"/>
                <w:color w:val="000000"/>
                <w:sz w:val="32"/>
              </w:rPr>
              <w:t>未公开</w:t>
            </w:r>
          </w:p>
        </w:tc>
      </w:tr>
      <w:tr>
        <w:tc>
          <w:tcPr>
            <w:tcW w:type="dxa" w:w="2835"/>
          </w:tcPr>
          <w:p>
            <w:pPr>
              <w:spacing w:lineRule="exact" w:line="600"/>
              <w:jc w:val="center"/>
            </w:pPr>
            <w:r/>
            <w:r>
              <w:rPr>
                <w:rFonts w:ascii="仿宋_GB2312" w:hAnsi="仿宋_GB2312" w:eastAsia="仿宋_GB2312"/>
                <w:b w:val="0"/>
                <w:color w:val="000000"/>
                <w:sz w:val="32"/>
              </w:rPr>
              <w:t>营业收入（亿元）</w:t>
            </w:r>
          </w:p>
        </w:tc>
        <w:tc>
          <w:tcPr>
            <w:tcW w:type="dxa" w:w="2041"/>
          </w:tcPr>
          <w:p>
            <w:pPr>
              <w:spacing w:lineRule="exact" w:line="600"/>
              <w:jc w:val="center"/>
            </w:pPr>
            <w:r/>
            <w:r>
              <w:rPr>
                <w:rFonts w:ascii="仿宋_GB2312" w:hAnsi="仿宋_GB2312" w:eastAsia="仿宋_GB2312"/>
                <w:b w:val="0"/>
                <w:color w:val="000000"/>
                <w:sz w:val="32"/>
              </w:rPr>
              <w:t>未公开</w:t>
            </w:r>
          </w:p>
        </w:tc>
        <w:tc>
          <w:tcPr>
            <w:tcW w:type="dxa" w:w="2041"/>
          </w:tcPr>
          <w:p>
            <w:pPr>
              <w:spacing w:lineRule="exact" w:line="600"/>
              <w:jc w:val="center"/>
            </w:pPr>
            <w:r/>
            <w:r>
              <w:rPr>
                <w:rFonts w:ascii="仿宋_GB2312" w:hAnsi="仿宋_GB2312" w:eastAsia="仿宋_GB2312"/>
                <w:b w:val="0"/>
                <w:color w:val="000000"/>
                <w:sz w:val="32"/>
              </w:rPr>
              <w:t>未公开</w:t>
            </w:r>
          </w:p>
        </w:tc>
        <w:tc>
          <w:tcPr>
            <w:tcW w:type="dxa" w:w="2041"/>
          </w:tcPr>
          <w:p>
            <w:pPr>
              <w:spacing w:lineRule="exact" w:line="600"/>
              <w:jc w:val="center"/>
            </w:pPr>
            <w:r/>
            <w:r>
              <w:rPr>
                <w:rFonts w:ascii="仿宋_GB2312" w:hAnsi="仿宋_GB2312" w:eastAsia="仿宋_GB2312"/>
                <w:b w:val="0"/>
                <w:color w:val="000000"/>
                <w:sz w:val="32"/>
              </w:rPr>
              <w:t>未公开</w:t>
            </w:r>
          </w:p>
        </w:tc>
      </w:tr>
      <w:tr>
        <w:tc>
          <w:tcPr>
            <w:tcW w:type="dxa" w:w="2835"/>
          </w:tcPr>
          <w:p>
            <w:pPr>
              <w:spacing w:lineRule="exact" w:line="600"/>
              <w:jc w:val="center"/>
            </w:pPr>
            <w:r/>
            <w:r>
              <w:rPr>
                <w:rFonts w:ascii="仿宋_GB2312" w:hAnsi="仿宋_GB2312" w:eastAsia="仿宋_GB2312"/>
                <w:b w:val="0"/>
                <w:color w:val="000000"/>
                <w:sz w:val="32"/>
              </w:rPr>
              <w:t>净利润（亿元）</w:t>
            </w:r>
          </w:p>
        </w:tc>
        <w:tc>
          <w:tcPr>
            <w:tcW w:type="dxa" w:w="2041"/>
          </w:tcPr>
          <w:p>
            <w:pPr>
              <w:spacing w:lineRule="exact" w:line="600"/>
              <w:jc w:val="center"/>
            </w:pPr>
            <w:r/>
            <w:r>
              <w:rPr>
                <w:rFonts w:ascii="仿宋_GB2312" w:hAnsi="仿宋_GB2312" w:eastAsia="仿宋_GB2312"/>
                <w:b w:val="0"/>
                <w:color w:val="000000"/>
                <w:sz w:val="32"/>
              </w:rPr>
              <w:t>未公开</w:t>
            </w:r>
          </w:p>
        </w:tc>
        <w:tc>
          <w:tcPr>
            <w:tcW w:type="dxa" w:w="2041"/>
          </w:tcPr>
          <w:p>
            <w:pPr>
              <w:spacing w:lineRule="exact" w:line="600"/>
              <w:jc w:val="center"/>
            </w:pPr>
            <w:r/>
            <w:r>
              <w:rPr>
                <w:rFonts w:ascii="仿宋_GB2312" w:hAnsi="仿宋_GB2312" w:eastAsia="仿宋_GB2312"/>
                <w:b w:val="0"/>
                <w:color w:val="000000"/>
                <w:sz w:val="32"/>
              </w:rPr>
              <w:t>未公开</w:t>
            </w:r>
          </w:p>
        </w:tc>
        <w:tc>
          <w:tcPr>
            <w:tcW w:type="dxa" w:w="2041"/>
          </w:tcPr>
          <w:p>
            <w:pPr>
              <w:spacing w:lineRule="exact" w:line="600"/>
              <w:jc w:val="center"/>
            </w:pPr>
            <w:r/>
            <w:r>
              <w:rPr>
                <w:rFonts w:ascii="仿宋_GB2312" w:hAnsi="仿宋_GB2312" w:eastAsia="仿宋_GB2312"/>
                <w:b w:val="0"/>
                <w:color w:val="000000"/>
                <w:sz w:val="32"/>
              </w:rPr>
              <w:t>未公开</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2041"/>
          </w:tcPr>
          <w:p>
            <w:pPr>
              <w:spacing w:lineRule="exact" w:line="600"/>
              <w:jc w:val="center"/>
            </w:pPr>
            <w:r/>
            <w:r>
              <w:rPr>
                <w:rFonts w:ascii="仿宋_GB2312" w:hAnsi="仿宋_GB2312" w:eastAsia="仿宋_GB2312"/>
                <w:b w:val="0"/>
                <w:color w:val="000000"/>
                <w:sz w:val="32"/>
              </w:rPr>
              <w:t>未公开</w:t>
            </w:r>
          </w:p>
        </w:tc>
        <w:tc>
          <w:tcPr>
            <w:tcW w:type="dxa" w:w="2041"/>
          </w:tcPr>
          <w:p>
            <w:pPr>
              <w:spacing w:lineRule="exact" w:line="600"/>
              <w:jc w:val="center"/>
            </w:pPr>
            <w:r/>
            <w:r>
              <w:rPr>
                <w:rFonts w:ascii="仿宋_GB2312" w:hAnsi="仿宋_GB2312" w:eastAsia="仿宋_GB2312"/>
                <w:b w:val="0"/>
                <w:color w:val="000000"/>
                <w:sz w:val="32"/>
              </w:rPr>
              <w:t>未公开</w:t>
            </w:r>
          </w:p>
        </w:tc>
        <w:tc>
          <w:tcPr>
            <w:tcW w:type="dxa" w:w="2041"/>
          </w:tcPr>
          <w:p>
            <w:pPr>
              <w:spacing w:lineRule="exact" w:line="600"/>
              <w:jc w:val="center"/>
            </w:pPr>
            <w:r/>
            <w:r>
              <w:rPr>
                <w:rFonts w:ascii="仿宋_GB2312" w:hAnsi="仿宋_GB2312" w:eastAsia="仿宋_GB2312"/>
                <w:b w:val="0"/>
                <w:color w:val="000000"/>
                <w:sz w:val="32"/>
              </w:rPr>
              <w:t>未公开</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非上市企业盈利指标未公开披露，不作编造。公司作为单项冠军与高新技术企业，主业盈利能力应优于行业一般水平，但确切数据无法从公开渠道取得。</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公司占地11.5万平方米、建筑面积3.6万平方米并配套实验中心与智能工厂，固定资产与设备投入较实，资产质量总体稳健，具体结构未公开。</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负债与偿债能力数据未公开披露，不作估算。</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经营现金流数据未公开。出口与主机厂配套业务回款周期相对规范。</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在茌平铝制功能部件集群中，鲁环聚焦汽车铝制散热器这一精深加工细分，技术资质（单项冠军、IATF16949、省级工程实验室）优于多数同业，是集群内"铝—汽车部件"高附加值转化的代表企业。</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公司为自然人控股的有限责任公司，设执行董事/总经理与监事，治理集中。山东宇洋汽车尾气净化装置有限公司为控股股东。</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法定代表人于飞（2024年变更），原法定代表人为于相涛；公司主要人员含董事兼总经理、监事等。具体高管名单以工商登记为准。</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公司通过IATF16949、ISO三体系及两化融合认证，建ERP/MES/WMS/FineReport智能管理体系与鼎捷ERP质量追溯子系统，内控以汽车行业标准与质量追溯为核心。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职工约432人（2024年），其中专业技术人员260人、质量管理人员68人，研发与制造人才储备较厚，支撑其高新技术企业定位。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与资质壁垒：国家级高新技术企业、省级工程实验室、IATF16949与两化融合认证、制造业单项冠军；二是实验与检测能力：3,800平方米实验中心、十多套专业台架；三是客户与品牌："华环"山东著名商标、1,300余种型号、出口导向；四是材料保障：核心铝材由奥科宁克供应，质量稳定；五是智能工厂与绿色制造基础。</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行业风险：汽车产销量与新能源转型影响散热器需求结构（传统燃油车散热器需求或承压，新能源热管理带来新机遇）。经营风险：对下游主机厂配套依赖、出口受贸易环境影响。合规风险：公司历史上存在一定数量司法与立案信息，需关注合同履约。财务风险：单体财务不透明。应对措施：公司通过智能工厂、绿色工厂与产品迭代（向新能源热管理延伸）提升竞争力，并持续强化质量体系。</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鲁环为优质"铝—汽车部件"精深加工企业，可探索：（1）供应链金融：上游铝材采购（奥科宁克等）形成应付账款，可开展基于真实订单的保理；（2）融资租赁：智能工厂设备、实验中心仪器可匹配设备直租/回租，支持产能升级；（3）商业保理：对主机厂应收账款提供保理融资加快周转；（4）小贷：可作为集群内优质客户给予周转性小额授信。鉴于其单项冠军与技术资质，风险相对可控，建议优先推进设备融资租赁与供应链保理。</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鲁环是茌平铝制功能部件集群中技术含量与附加值较高的汽车铝制散热器代表企业，单项冠军与IATF16949等资质构成坚实护城河。挑战在于燃油车需求结构与出口波动。据行业趋势，新能源汽车热管理市场快速扩张，公司可借此延伸产品矩阵。建议强化新能源热管理研发、拓展头部新能源车企配套；山东投资宜以融资租赁+供应链保理切入，支持其智能化与绿色化升级。</w:t>
      </w:r>
    </w:p>
    <w:p>
      <w:pPr>
        <w:spacing w:lineRule="exact" w:line="600" w:before="0" w:after="0"/>
        <w:jc w:val="left"/>
      </w:pPr>
      <w:r>
        <w:rPr>
          <w:rFonts w:ascii="仿宋_GB2312" w:hAnsi="仿宋_GB2312" w:eastAsia="仿宋_GB2312"/>
          <w:b w:val="0"/>
          <w:color w:val="000000"/>
          <w:sz w:val="28"/>
        </w:rPr>
        <w:t>数据来源说明：国家企业信用信息公示系统、天眼查、百度百科、公司官网（luhuanrad.com）、企查查及公开报道。财务数据未公开部分已如实标注。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