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山东省肥城市新型电池电极材料产业集群</w:t>
      </w:r>
    </w:p>
    <w:p>
      <w:pPr>
        <w:spacing w:lineRule="exact" w:line="600" w:before="240" w:after="240"/>
        <w:ind w:firstLine="0"/>
        <w:jc w:val="center"/>
      </w:pPr>
      <w:r>
        <w:rPr>
          <w:rFonts w:ascii="方正小标宋简体" w:hAnsi="方正小标宋简体" w:eastAsia="方正小标宋简体"/>
          <w:b w:val="0"/>
          <w:color w:val="000000"/>
          <w:sz w:val="44"/>
        </w:rPr>
        <w:t>山东零壹肆先进材料有限公司企业分析报告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启信宝、公司官网及权威媒体（大众日报、经济导报、同花顺、雪球、中国化工报等）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零壹肆先进材料有限公司成立于2016年12月26日，法定代表人为宋杰（董事长兼总经理），统一社会信用代码91370983MA3CU7UG85，企业类型为其他有限责任公司，注册资本857.8972万元（实缴455.3719万元），注册地址位于山东省泰安市肥城市王瓜店街道康王西路蔚蓝碳中和科技产业园，登记机关为肥城市市场监督管理局，经营状态为存续。人员规模100—199人，2025年年报参保人数146人。</w:t>
      </w:r>
    </w:p>
    <w:p>
      <w:pPr>
        <w:spacing w:lineRule="exact" w:line="600" w:before="0" w:after="0"/>
        <w:ind w:firstLine="420"/>
        <w:jc w:val="both"/>
      </w:pPr>
      <w:r>
        <w:rPr>
          <w:rFonts w:ascii="仿宋_GB2312" w:hAnsi="仿宋_GB2312" w:eastAsia="仿宋_GB2312"/>
          <w:b w:val="0"/>
          <w:color w:val="000000"/>
          <w:sz w:val="32"/>
        </w:rPr>
        <w:t>股权结构：由持股平台与知名产业/财务投资人构成。泰安众智材料技术开发合伙企业（有限合伙）持股约37.72%，北京智造未来创新技术有限公司持股约28.34%，泰安瑞升企业管理合伙企业（有限合伙）持股约9.20%，北京小米智造股权投资基金合伙企业（有限合伙，小米系）持股5.00%，武汉源夏股权投资合伙企业持股5.00%，上海中电投融和新能源投资管理中心（有限合伙，国家电投体系）持股约3.175%，另含华创上古、景成新能源等机构。战略投资股东包括北京智造未来、国家电投、小米、源码资本等。公司无单一实控人，属多机构参股的钠离子电池科创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长兼总经理（宋杰）、董事（罗飞、张康锋）、监事（杜花）、财务负责人（梁燕玲）；业务涵盖钠离子电池正极材料、硬碳负极、电芯制造与储能系统开发，研发与产业化团队一体化，位于肥城市蔚蓝碳中和科技产业园。</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2016年成立，专注钠离子电池核心材料与电芯研发制造；依托原创性低能耗、低成本普鲁士蓝/白类正极材料规模化量产技术，实现从核心材料到电芯一体化低碳绿色制造。2022年4月启动一期产能建设，2023年三季度实现量产出货；2023年建成千吨级钠离子电池正极材料、0.3GWh钠离子电芯生产线并率先实现规模化交付。2024年通过IATF16949认证，牵头起草《钠离子电池用普鲁士蓝类正极材料》团体标准；与山东重工、潍柴新动力科技签署战略合作协议，扩建年产1GWh钠离子电池项目。</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专注钠离子电池核心材料与电芯研发、制造与应用的科技型企业，是肥城新型电池电极材料产业集群的钠离子电池方向代表企业。主营业务为电子专用材料制造、电池制造与销售、新能源汽车废旧动力蓄电池回收及梯次利用（不含危险废物经营）、电子专用材料研发与销售、新材料技术研发。核心为普鲁士蓝/白类正极材料（可逆克容量达160mAh/g）及硬碳负极、32/46系列全极耳圆柱电芯的一体化制造。</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业务覆盖“正极材料（普鲁士蓝类）—硬碳负极—电芯—储能系统”全链条，由材料向电芯与系统延伸；公司未公开披露分业务收入占比，正极材料与电芯为当前主体。</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普鲁士蓝/白类钠离子电池正极材料（已解决结晶水去除与稳定性问题，可逆克容量160mAh/g）、自主开发钠电专用电解液、硬碳负极、32/46系列全极耳圆柱电芯；并提供适配应用场景的成品与储能系统解决方案。技术特点为无需高温烧结、低碳足迹、低成本、无贵金属元素。</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与山东重工、潍柴新动力科技签署战略合作协议，联合推进钠离子电池关键技术攻关；产品面向储能、低速车、两轮车及启停等应用场景。依托小米、国家电投等战略股东资源拓展市场。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生产所需主要原料为亚铁氰化物等化工原料、硬碳前驱体及电池辅材，价格随基础化工与碳材料行情波动；普鲁士蓝路线原料来源广泛、经济，成本优势明显。</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2023年已建成千吨级钠离子电池正极材料、0.3GWh钠离子电芯生产线；与山东重工、潍柴合作扩建年产1GWh钠离子电池项目。资质方面：2024年获国家级高新技术企业认定，2025年入选省级专精特新中小企业和国家级科技型中小企业，通过IATF16949国际汽车行业质量管理体系认证；牵头起草《钠离子电池用普鲁士蓝类正极材料》团体标准。</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以直销对接战略客户（山东重工、潍柴等）与储能集成商为主，并提供电芯—系统一体化方案；通过CIBF等行业展会推广，多次公开亮相核心产品。</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科创企业，财务数据未公开披露，无公开营业收入、利润及市占率数据。从千吨级正极材料+0.3GWh电芯产能、1GWh扩建项目及头部战略股东看，公司在普鲁士蓝类钠电材料细分领域具备先发与稀缺地位。</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山东零壹肆为非上市科创企业，近三年财务报表未公开披露，以下仅列公开工商与产能信息，不作财务数据编造。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857.90万元（实缴455.37万元）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2016-12-26</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约146人</w:t>
            </w:r>
          </w:p>
        </w:tc>
      </w:tr>
      <w:tr>
        <w:tc>
          <w:tcPr>
            <w:tcW w:type="dxa" w:w="2551"/>
          </w:tcPr>
          <w:p>
            <w:pPr>
              <w:spacing w:lineRule="exact" w:line="600"/>
              <w:jc w:val="center"/>
            </w:pPr>
            <w:r/>
            <w:r>
              <w:rPr>
                <w:rFonts w:ascii="仿宋_GB2312" w:hAnsi="仿宋_GB2312" w:eastAsia="仿宋_GB2312"/>
                <w:b w:val="0"/>
                <w:color w:val="000000"/>
                <w:sz w:val="32"/>
              </w:rPr>
              <w:t>正极材料产能</w:t>
            </w:r>
          </w:p>
        </w:tc>
        <w:tc>
          <w:tcPr>
            <w:tcW w:type="dxa" w:w="6236"/>
          </w:tcPr>
          <w:p>
            <w:pPr>
              <w:spacing w:lineRule="exact" w:line="600"/>
              <w:jc w:val="center"/>
            </w:pPr>
            <w:r/>
            <w:r>
              <w:rPr>
                <w:rFonts w:ascii="仿宋_GB2312" w:hAnsi="仿宋_GB2312" w:eastAsia="仿宋_GB2312"/>
                <w:b w:val="0"/>
                <w:color w:val="000000"/>
                <w:sz w:val="32"/>
              </w:rPr>
              <w:t>千吨级（2023年建成）</w:t>
            </w:r>
          </w:p>
        </w:tc>
      </w:tr>
      <w:tr>
        <w:tc>
          <w:tcPr>
            <w:tcW w:type="dxa" w:w="2551"/>
          </w:tcPr>
          <w:p>
            <w:pPr>
              <w:spacing w:lineRule="exact" w:line="600"/>
              <w:jc w:val="center"/>
            </w:pPr>
            <w:r/>
            <w:r>
              <w:rPr>
                <w:rFonts w:ascii="仿宋_GB2312" w:hAnsi="仿宋_GB2312" w:eastAsia="仿宋_GB2312"/>
                <w:b w:val="0"/>
                <w:color w:val="000000"/>
                <w:sz w:val="32"/>
              </w:rPr>
              <w:t>电芯产能</w:t>
            </w:r>
          </w:p>
        </w:tc>
        <w:tc>
          <w:tcPr>
            <w:tcW w:type="dxa" w:w="6236"/>
          </w:tcPr>
          <w:p>
            <w:pPr>
              <w:spacing w:lineRule="exact" w:line="600"/>
              <w:jc w:val="center"/>
            </w:pPr>
            <w:r/>
            <w:r>
              <w:rPr>
                <w:rFonts w:ascii="仿宋_GB2312" w:hAnsi="仿宋_GB2312" w:eastAsia="仿宋_GB2312"/>
                <w:b w:val="0"/>
                <w:color w:val="000000"/>
                <w:sz w:val="32"/>
              </w:rPr>
              <w:t>0.3GWh（2023年）+ 扩建1GWh</w:t>
            </w:r>
          </w:p>
        </w:tc>
      </w:tr>
      <w:tr>
        <w:tc>
          <w:tcPr>
            <w:tcW w:type="dxa" w:w="2551"/>
          </w:tcPr>
          <w:p>
            <w:pPr>
              <w:spacing w:lineRule="exact" w:line="600"/>
              <w:jc w:val="center"/>
            </w:pPr>
            <w:r/>
            <w:r>
              <w:rPr>
                <w:rFonts w:ascii="仿宋_GB2312" w:hAnsi="仿宋_GB2312" w:eastAsia="仿宋_GB2312"/>
                <w:b w:val="0"/>
                <w:color w:val="000000"/>
                <w:sz w:val="32"/>
              </w:rPr>
              <w:t>战略股东</w:t>
            </w:r>
          </w:p>
        </w:tc>
        <w:tc>
          <w:tcPr>
            <w:tcW w:type="dxa" w:w="6236"/>
          </w:tcPr>
          <w:p>
            <w:pPr>
              <w:spacing w:lineRule="exact" w:line="600"/>
              <w:jc w:val="center"/>
            </w:pPr>
            <w:r/>
            <w:r>
              <w:rPr>
                <w:rFonts w:ascii="仿宋_GB2312" w:hAnsi="仿宋_GB2312" w:eastAsia="仿宋_GB2312"/>
                <w:b w:val="0"/>
                <w:color w:val="000000"/>
                <w:sz w:val="32"/>
              </w:rPr>
              <w:t>小米、国家电投、源码资本、智造未来</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财务数据未公开披露。钠离子电池仍处产业化早期，公司处产能爬坡与研发投入期，短期盈利或不显著；普鲁士蓝路线低成本优势有望在中长期体现。</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无公开资产数据。重研发与产线设备投入，固定资产（电芯产线）与无形资产（专利、技术）为主；多轮产业融资支撑资产扩张。</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无公开负债数据。科创成长期依赖股权融资，负债水平应总体可控；建议授信前核查有息负债与对外担保。</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无公开现金流数据。产线建设与研发需持续资金投入，关注经营性现金流转正节奏与融资节奏。</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国内钠离子电池企业相比，零壹肆以原创普鲁士蓝/白类正极材料技术路线独树一帜（无需高温烧结、低碳低成本），并打通材料—电芯—系统；与中科海钠（层状氧化物路线）等形成差异化竞争，在储能与低速场景具成本潜力。</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其他有限责任公司，由持股平台（泰安众智材料37.72%）与多家产业/财务投资人（小米、国家电投、源码等）构成；设董事长兼总经理（宋杰）、董事、监事，治理按科创企业规范运作。</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法定代表人、董事长兼总经理宋杰；董事罗飞、张康锋；监事杜花；财务负责人梁燕玲。核心成员在钠电正负极及电芯领域经验超10年。</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通过IATF16949汽车行业质量体系认证，建立研发与质量内控；牵头制定团体标准，技术合规与知识产权管理较规范。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参保约146人，引进高层次人才多名（含海归博士3名），核心成员行业经验丰富；作为高新技术企业研发密度较高。</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原创技术壁垒：普鲁士蓝/白类正极材料规模化量产技术为0—1原创，可逆克容量160mAh/g，解决结晶水与稳定性难题，无需高温烧结、低碳低成本、无贵金属。二是一体化能力：材料—电芯—系统全链条研发制造，32/46全极耳圆柱电芯量产。三是标准与资质：牵头起草钠电正极材料团体标准，国家级高新、专精特新、IATF16949。四是顶级股东赋能：小米、国家电投、源码资本、智造未来等战略股东带来资本、场景与品牌背书。五是应用协同：与山东重工、潍柴战略合作，绑定储能与动力场景。</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产业化与量产风险：钠电仍处早期，从千吨级到1GWh扩建的良率、成本与一致性存在不确定性。二是技术路线竞争风险：普鲁士蓝路线与层状氧化物、聚阴离子等路线竞争，需以成本与循环寿命验证优势。三是客户集中风险：依赖山东重工、潍柴等少数战略客户，订单波动影响大。四是资金风险：成长期研发投入与产能建设大，盈利未释放，现金流承压。五是市场接受度风险：钠电在储能/低速场景渗透率取决于成本与安全验证节奏。</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山东重工、潍柴等战略客户的电芯/材料应收账款可开展保理。供应链金融：围绕核心客户提供订单融资。融资租赁：电芯与正极材料产线设备适合直租/回租，支撑1GWh扩建。小贷：面向临时周转。作为技术原创、股东顶级、政策契合（钠电、储能）的高成长科创企业，建议以“设备融资租赁+核心客户应收保理”组合切入，并关注产线达产与钠电市场节奏。</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零壹肆是肥城新型电池电极材料集群中钠离子电池方向的代表性科创企业，原创普鲁士蓝类正极材料技术路线稀缺、一体化能力强、顶级股东加持，但处产业化早期、规模小、财务不透明。发展展望：据行业趋势与政策导向，储能与低速电动对低成本钠电需求增长，公司1GWh项目达产后成长空间较大。建议：一是对接产线设备融资租赁与核心客户应收保理；二是要求补充规范财务资料并以增信控制风险；三是跟踪量产良率、技术路线竞争与战略客户订单持续性。</w:t>
      </w:r>
    </w:p>
    <w:p>
      <w:pPr>
        <w:spacing w:lineRule="exact" w:line="600" w:before="0" w:after="0"/>
        <w:jc w:val="left"/>
      </w:pPr>
      <w:r>
        <w:rPr>
          <w:rFonts w:ascii="仿宋_GB2312" w:hAnsi="仿宋_GB2312" w:eastAsia="仿宋_GB2312"/>
          <w:b w:val="0"/>
          <w:color w:val="000000"/>
          <w:sz w:val="28"/>
        </w:rPr>
        <w:t>数据来源说明：天眼查/爱企查/企查查（工商、股权、资质、参保）、公司官网 014am.com（技术、产能、股东、荣誉、IATF16949、团体标准）、上海证券报（小米/国家电投入股）、公开新闻（与山东重工/潍柴合作、1GWh项目）。近三年完整财务未公开披露，已如实标注。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