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山东省阳谷县铁路输电设备产业集群</w:t>
      </w:r>
    </w:p>
    <w:p>
      <w:pPr>
        <w:spacing w:lineRule="exact" w:line="600" w:before="240" w:after="240"/>
        <w:ind w:firstLine="0"/>
        <w:jc w:val="center"/>
      </w:pPr>
      <w:r>
        <w:rPr>
          <w:rFonts w:ascii="方正小标宋简体" w:hAnsi="方正小标宋简体" w:eastAsia="方正小标宋简体"/>
          <w:b w:val="0"/>
          <w:color w:val="000000"/>
          <w:sz w:val="44"/>
        </w:rPr>
        <w:t>山东太平洋光纤光缆有限公司企业分析报告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太平洋光纤光缆有限公司成立于1999年6月7日，法定代表人周文，统一社会信用代码91371500267158165P，企业类型为有限责任公司（自然人投资或控股），注册资本13,000万元（实缴13,000万元），注册地址位于山东省阳谷县西湖14号，登记机关为聊城市市场监督管理局，经营状态为存续。曾用名山东太平洋光缆有限公司。公司与阳谷电缆集团存在关联关系（同受高宪武系影响）。</w:t>
      </w:r>
    </w:p>
    <w:p>
      <w:pPr>
        <w:spacing w:lineRule="exact" w:line="600" w:before="0" w:after="0"/>
        <w:ind w:firstLine="420"/>
        <w:jc w:val="both"/>
      </w:pPr>
      <w:r>
        <w:rPr>
          <w:rFonts w:ascii="仿宋_GB2312" w:hAnsi="仿宋_GB2312" w:eastAsia="仿宋_GB2312"/>
          <w:b w:val="0"/>
          <w:color w:val="000000"/>
          <w:sz w:val="32"/>
        </w:rPr>
        <w:t>股权结构：高宪武持股89.3077%，国开发展基金有限公司持股7.6923%，周文持股3.0000%。实际控制人为高宪武，属民营控股企业（含国开基金参股），无国有控股股东。</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公司对外投资3家企业，设研发、生产、销售职能体系，建有院士工作站；业务涵盖光棒、光纤、光缆、光电缆、有源光芯片、光模块、连接器及配套设备的研发生产销售服务。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1999年6月由亚洲太平洋电线电缆股份有限公司与山东阳谷电缆集团合资设立（原名山东太平洋光缆有限公司）；引入芬兰NEXTROM等国际先进设备，逐步建成光纤光缆产线；发展为集光棒、光纤、光缆、光芯片、光模块、连接器、配套设备于一体的全产业链企业；获评AAA级信用企业、工业企业省级质量标杆、两化融合示范企业、知识产权示范企业、省级企业技术中心、中国电子信息行业创新能力五十强、两化融合管理体系贯标试点企业，并建有院士工作站。</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光电物联产品与解决方案提供者"。主营业务为光纤制造与销售、光缆制造与销售、光电子器件制造与销售、通信设备制造与销售、集成电路制造与销售、电线电缆制造，以及货物与技术进出口、信息系统集成服务，具备光棒—光纤—光缆—光芯片—光模块全链条研发生产能力。</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业务以光纤光缆为核心，向上游延伸光棒、向下游延伸光芯片/光模块/连接器，形成"光棒—光纤—光缆—光电器件"全产业链结构。公司未公开披露分产品收入占比。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主导产品：光棒、光纤、光缆、光电缆、有源光芯片、光模块、连接器及配套设备；产品方案服务于通信、电力、能源、交通、航空、船舶海洋、安防等行业。</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是中国移动、中国联通、中国电信、国网、南网、广电的主力供应商；出口新加坡、马来西亚、巴基斯坦、印度、喀麦隆、俄罗斯、哈萨克斯坦、希腊、中国台湾等20多个国家和地区。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生产所需光纤预制棒原料、石英管材、有色金属、电子元器件为主要采购对象，原料与光通信产业链行情相关。</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专利226项、注册商标4项、软件著作权1项；建有院士工作站、省级企业技术中心；先后通过ISO9001、ISO14001、OHSAS18001、GB/T29490等体系认证；为AAA级信用企业、省级质量标杆、两化融合示范企业。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以直销对接三大运营商、电网与广电等大客户为主，并提供光电物联解决方案；通过自营出口拓展海外市场。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近三年完整财务数据未公开披露，无公开营收、利润及市占率数据。从资质（省级企业技术中心、院士工作站、专利226项）与客户（三大运营商主力供应商、出口20多国）看，公司在光纤光缆细分领域具备稳定行业地位。注：公开信息显示公司存在一定数量被执行人等司法风险记录，授信需重点关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山东太平洋光纤光缆为非上市民营企业，近三年财务报表未公开披露，以下列公开工商与资质信息，不作财务数据编造。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13,000万元（实缴13,000万元）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1999-06-07</w:t>
            </w:r>
          </w:p>
        </w:tc>
      </w:tr>
      <w:tr>
        <w:tc>
          <w:tcPr>
            <w:tcW w:type="dxa" w:w="2551"/>
          </w:tcPr>
          <w:p>
            <w:pPr>
              <w:spacing w:lineRule="exact" w:line="600"/>
              <w:jc w:val="center"/>
            </w:pPr>
            <w:r/>
            <w:r>
              <w:rPr>
                <w:rFonts w:ascii="仿宋_GB2312" w:hAnsi="仿宋_GB2312" w:eastAsia="仿宋_GB2312"/>
                <w:b w:val="0"/>
                <w:color w:val="000000"/>
                <w:sz w:val="32"/>
              </w:rPr>
              <w:t>实际控制人</w:t>
            </w:r>
          </w:p>
        </w:tc>
        <w:tc>
          <w:tcPr>
            <w:tcW w:type="dxa" w:w="6236"/>
          </w:tcPr>
          <w:p>
            <w:pPr>
              <w:spacing w:lineRule="exact" w:line="600"/>
              <w:jc w:val="center"/>
            </w:pPr>
            <w:r/>
            <w:r>
              <w:rPr>
                <w:rFonts w:ascii="仿宋_GB2312" w:hAnsi="仿宋_GB2312" w:eastAsia="仿宋_GB2312"/>
                <w:b w:val="0"/>
                <w:color w:val="000000"/>
                <w:sz w:val="32"/>
              </w:rPr>
              <w:t>高宪武（持股89.31%）</w:t>
            </w:r>
          </w:p>
        </w:tc>
      </w:tr>
      <w:tr>
        <w:tc>
          <w:tcPr>
            <w:tcW w:type="dxa" w:w="2551"/>
          </w:tcPr>
          <w:p>
            <w:pPr>
              <w:spacing w:lineRule="exact" w:line="600"/>
              <w:jc w:val="center"/>
            </w:pPr>
            <w:r/>
            <w:r>
              <w:rPr>
                <w:rFonts w:ascii="仿宋_GB2312" w:hAnsi="仿宋_GB2312" w:eastAsia="仿宋_GB2312"/>
                <w:b w:val="0"/>
                <w:color w:val="000000"/>
                <w:sz w:val="32"/>
              </w:rPr>
              <w:t>专利</w:t>
            </w:r>
          </w:p>
        </w:tc>
        <w:tc>
          <w:tcPr>
            <w:tcW w:type="dxa" w:w="6236"/>
          </w:tcPr>
          <w:p>
            <w:pPr>
              <w:spacing w:lineRule="exact" w:line="600"/>
              <w:jc w:val="center"/>
            </w:pPr>
            <w:r/>
            <w:r>
              <w:rPr>
                <w:rFonts w:ascii="仿宋_GB2312" w:hAnsi="仿宋_GB2312" w:eastAsia="仿宋_GB2312"/>
                <w:b w:val="0"/>
                <w:color w:val="000000"/>
                <w:sz w:val="32"/>
              </w:rPr>
              <w:t>226项</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省级企业技术中心、院士工作站、AAA信用</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财务数据未公开披露。光纤光缆行业盈利随光通信投资周期（如5G、千兆光网、东数西算）与光纤价格大幅波动，存在明显周期；具备全产业链者抗波动能力相对较强。</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无公开资产数据。作为光通信制造企业，固定资产（拉丝塔、预制棒设备）与存货占比较高。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无公开负债数据。公开信息显示公司存在一定被执行人等司法风险记录，授信前须重点核查征信、被执行与对外担保情况。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无公开现金流数据。光通信项目回款周期与存货占用对现金流影响显著。</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与长飞光纤、亨通光电、中天科技等上市光纤光缆龙头相比，太平洋光纤光缆规模较小但具备全产业链与三大运营商供应商资质；与同集群阳谷电缆集团、日辉电缆协同构成阳谷"电力+通信"线缆产业矩阵。</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有限责任公司（自然人投资或控股），设法定代表人/董事长（周文）及治理层；民营控股，治理相对市场化。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法定代表人周文；实际控制人为大股东高宪武。管理团队深耕光通信产业。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通过ISO9001/14001/OHSAS18001/GB-T29490等体系认证，建有院士工作站与企业技术中心，研发与质量内控较完备；但公开司法风险记录提示需强化合规与信用管理。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参保约100人（公开口径差异）；作为技术密集型企业，研发与工程人员占比应较高，专利226项体现较强研发密度。</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全产业链壁垒：具备光棒—光纤—光缆—光芯片—光模块全链条能力，国内具备该完整链条的企业较少，成本与协同优势明显。二是客户壁垒：中国移动、联通、电信、国网、南网、广电主力供应商，客户资质门槛高、粘性强。三是技术与资质：省级企业技术中心、院士工作站、专利226项、AAA信用、省级质量标杆。四是出口能力：产品出口20多个国家和地区，具备国际市场的渠道与认证。五是集群协同：与阳谷电缆集团等构成区域线缆产业矩阵，配套与品牌协同。</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光通信投资与光纤价格周期性波动剧烈，盈利弹性大；应对为全产业链降本与多元应用。二是法律与信用风险（重点）：公开信息显示公司存在一定数量被执行人等司法风险记录，需重点核查被执行、涉诉与对外担保，强化信用管理。三是客户集中风险：依赖运营商集采，订单与价格受集采影响。四是原料与汇率风险：光棒原料与出口业务受价格与汇率影响。五是竞争风险：光纤光缆赛道竞争激烈、价格承压，须以技术与全产业链维持优势。</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三大运营商、电网等核心客户的应收账款规模大、账期长，可开展保理融资。供应链金融：围绕核心企业为其光棒、设备、材料供应商提供订单与存货融资。融资租赁：光纤拉丝塔、预制棒等产线设备投资适合直租/回租。小贷：面向临时周转。鉴于企业全产业链与客户资质优良，但司法风险记录需重点排查，建议以"强确权应收保理+设备融资租赁"为主，并先行核查被执行与征信、设置严格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太平洋光纤光缆是阳谷铁路输电设备产业集群中具备光棒—光纤—光缆—光器件全产业链的骨干企业，客户资质优良（三大运营商主力供应商）、技术与出口能力强，但非上市财务不透明、且公开司法风险记录需重点关注。发展展望：据行业趋势，5G、千兆光网、东数西算与海洋通信持续拉动光纤光缆需求，全产业链布局利好长期发展。建议：一是以强确权应收保理与设备融资租赁切入；二是授信前必须核查被执行、涉诉与征信，设置增信与动态监测；三是关注光通信周期与光纤价格风险。</w:t>
      </w:r>
    </w:p>
    <w:p>
      <w:pPr>
        <w:spacing w:lineRule="exact" w:line="600" w:before="0" w:after="0"/>
        <w:jc w:val="left"/>
      </w:pPr>
      <w:r>
        <w:rPr>
          <w:rFonts w:ascii="仿宋_GB2312" w:hAnsi="仿宋_GB2312" w:eastAsia="仿宋_GB2312"/>
          <w:b w:val="0"/>
          <w:color w:val="000000"/>
          <w:sz w:val="28"/>
        </w:rPr>
        <w:t>数据来源说明：天眼查/爱企查（工商、股权、资质、专利、司法风险）、公司官网spfosd.com（全产业链与客户）、国家企业信用信息公示系统。近三年完整财务未公开披露，已如实标注。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