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山东省阳谷县铁路输电设备产业集群</w:t>
      </w:r>
    </w:p>
    <w:p>
      <w:pPr>
        <w:spacing w:lineRule="exact" w:line="600" w:before="240" w:after="240"/>
        <w:ind w:firstLine="0"/>
        <w:jc w:val="center"/>
      </w:pPr>
      <w:r>
        <w:rPr>
          <w:rFonts w:ascii="方正小标宋简体" w:hAnsi="方正小标宋简体" w:eastAsia="方正小标宋简体"/>
          <w:b w:val="0"/>
          <w:color w:val="000000"/>
          <w:sz w:val="44"/>
        </w:rPr>
        <w:t>山东日辉电缆集团有限公司企业分析报告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公告、巨潮资讯网、东方财富、天眼查/爱企查/企查查、国家企业信用信息公示系统、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日辉电缆集团有限公司成立于2019年8月13日，法定代表人薛士国，统一社会信用代码91371500MA3QCN9H0Y，企业类型为其他有限责任公司，注册资本30,060万元（实缴23,962.77万元），注册地址位于山东省聊城市阳谷县西湖镇西湖路14号，登记机关为聊城市市场监督管理局，经营状态为存续。曾用名山东日辉电缆有限公司。公司为国有控股企业。</w:t>
      </w:r>
    </w:p>
    <w:p>
      <w:pPr>
        <w:spacing w:lineRule="exact" w:line="600" w:before="0" w:after="0"/>
        <w:ind w:firstLine="420"/>
        <w:jc w:val="both"/>
      </w:pPr>
      <w:r>
        <w:rPr>
          <w:rFonts w:ascii="仿宋_GB2312" w:hAnsi="仿宋_GB2312" w:eastAsia="仿宋_GB2312"/>
          <w:b w:val="0"/>
          <w:color w:val="000000"/>
          <w:sz w:val="32"/>
        </w:rPr>
        <w:t>股权结构：阳谷财通资产管理有限公司持股56.7532%，阳谷财金创业投资管理中心（有限合伙）持股43.2468%。阳谷财通穿透受山东阳昇发展集团有限公司（持股51%）与阳谷县财政局（持股49%）控制；阳谷财金穿透受阳谷景阳冈城市开发建设有限公司（持股99.97%）控制。国资层级为：阳谷县财政局→山东阳昇发展集团→阳谷财通→日辉电缆，为阳谷县属国有控股企业，须落实出资人职责与"三重一大"决策制度。</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公司对外投资2家企业，下设电力电缆、光缆、电力电子元器件、光纤、智能输配电设备等业务单元，与阳谷电缆集团共享"ygdl.com"品牌与区域产业协同；设研发、生产、销售职能部门。</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2019年8月成立（曾用名山东日辉电缆有限公司）；2020年完成股权融资，引入阳谷县国资股东；逐步由民营背景转为阳谷县属国有控股，并获评高新技术企业、专精特新"小巨人"、制造业单项冠军、企业技术中心、创新型中小企业等资质，成为阳谷铁路输电设备产业集群的重要支撑企业。</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阳谷县国有控股电线电缆骨干企业。主营业务为电线、电缆制造与经营，光缆、光纤制造与销售，电力电子元器件、电力设施器材、智能输配电及控制设备制造销售，光纤制造与销售，以及货物与技术进出口业务。</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业务以电力电缆、光缆、光纤及智能输配电设备为主线，覆盖"电力+通信"线缆产品。公司未公开披露分产品收入占比。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主导产品：电力电缆、矿用电缆、光缆、光纤、电力电子元器件、电力设施器材、智能输配电及控制设备；率先在行业内通过ISO9000质量管理体系认证及欧盟CE、俄罗斯GOST、德国TÜV莱茵产品认证。</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下游为电网、通信运营商、能源与工程建设企业；依托阳谷线缆产业集群配套体系与国资背景，客户覆盖国内重点工程与行业客户。</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生产所需铜材、铝材、绝缘料、护套料为主要采购对象，原料价格受国际铜铝价格大幅波动影响。</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员工约169人；拥有专利41项、软件著作权1项；获高新技术企业、国家级专精特新"小巨人"、制造业单项冠军、企业技术中心、创新型中小企业等资质；具备电线电缆制造许可与多项产品认证。具体产能数据未公开披露。</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采用经销商+直销+出口多渠道模式，依托"ygdl.com"区域品牌与三大运营商、电网等配套体系拓展市场。</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国有控股企业，近三年完整财务数据未公开披露，无公开营收、利润及市占率数据。从资质（专精特新"小巨人"、制造业单项冠军）与员工规模（约169人）看，公司在阳谷线缆集群中具备稳定区域地位，但规模小于阳谷电缆集团。</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山东日辉电缆为非上市国有控股企业，近三年财务报表未公开披露，以下列公开工商与资质信息，不作财务数据编造。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30,060万元（实缴23,962.77万元）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2019-08-13</w:t>
            </w:r>
          </w:p>
        </w:tc>
      </w:tr>
      <w:tr>
        <w:tc>
          <w:tcPr>
            <w:tcW w:type="dxa" w:w="2551"/>
          </w:tcPr>
          <w:p>
            <w:pPr>
              <w:spacing w:lineRule="exact" w:line="600"/>
              <w:jc w:val="center"/>
            </w:pPr>
            <w:r/>
            <w:r>
              <w:rPr>
                <w:rFonts w:ascii="仿宋_GB2312" w:hAnsi="仿宋_GB2312" w:eastAsia="仿宋_GB2312"/>
                <w:b w:val="0"/>
                <w:color w:val="000000"/>
                <w:sz w:val="32"/>
              </w:rPr>
              <w:t>国有股东</w:t>
            </w:r>
          </w:p>
        </w:tc>
        <w:tc>
          <w:tcPr>
            <w:tcW w:type="dxa" w:w="6236"/>
          </w:tcPr>
          <w:p>
            <w:pPr>
              <w:spacing w:lineRule="exact" w:line="600"/>
              <w:jc w:val="center"/>
            </w:pPr>
            <w:r/>
            <w:r>
              <w:rPr>
                <w:rFonts w:ascii="仿宋_GB2312" w:hAnsi="仿宋_GB2312" w:eastAsia="仿宋_GB2312"/>
                <w:b w:val="0"/>
                <w:color w:val="000000"/>
                <w:sz w:val="32"/>
              </w:rPr>
              <w:t>阳谷财通56.75%、阳谷财金43.25%</w:t>
            </w:r>
          </w:p>
        </w:tc>
      </w:tr>
      <w:tr>
        <w:tc>
          <w:tcPr>
            <w:tcW w:type="dxa" w:w="2551"/>
          </w:tcPr>
          <w:p>
            <w:pPr>
              <w:spacing w:lineRule="exact" w:line="600"/>
              <w:jc w:val="center"/>
            </w:pPr>
            <w:r/>
            <w:r>
              <w:rPr>
                <w:rFonts w:ascii="仿宋_GB2312" w:hAnsi="仿宋_GB2312" w:eastAsia="仿宋_GB2312"/>
                <w:b w:val="0"/>
                <w:color w:val="000000"/>
                <w:sz w:val="32"/>
              </w:rPr>
              <w:t>员工人数</w:t>
            </w:r>
          </w:p>
        </w:tc>
        <w:tc>
          <w:tcPr>
            <w:tcW w:type="dxa" w:w="6236"/>
          </w:tcPr>
          <w:p>
            <w:pPr>
              <w:spacing w:lineRule="exact" w:line="600"/>
              <w:jc w:val="center"/>
            </w:pPr>
            <w:r/>
            <w:r>
              <w:rPr>
                <w:rFonts w:ascii="仿宋_GB2312" w:hAnsi="仿宋_GB2312" w:eastAsia="仿宋_GB2312"/>
                <w:b w:val="0"/>
                <w:color w:val="000000"/>
                <w:sz w:val="32"/>
              </w:rPr>
              <w:t>约169人</w:t>
            </w:r>
          </w:p>
        </w:tc>
      </w:tr>
      <w:tr>
        <w:tc>
          <w:tcPr>
            <w:tcW w:type="dxa" w:w="2551"/>
          </w:tcPr>
          <w:p>
            <w:pPr>
              <w:spacing w:lineRule="exact" w:line="600"/>
              <w:jc w:val="center"/>
            </w:pPr>
            <w:r/>
            <w:r>
              <w:rPr>
                <w:rFonts w:ascii="仿宋_GB2312" w:hAnsi="仿宋_GB2312" w:eastAsia="仿宋_GB2312"/>
                <w:b w:val="0"/>
                <w:color w:val="000000"/>
                <w:sz w:val="32"/>
              </w:rPr>
              <w:t>专利</w:t>
            </w:r>
          </w:p>
        </w:tc>
        <w:tc>
          <w:tcPr>
            <w:tcW w:type="dxa" w:w="6236"/>
          </w:tcPr>
          <w:p>
            <w:pPr>
              <w:spacing w:lineRule="exact" w:line="600"/>
              <w:jc w:val="center"/>
            </w:pPr>
            <w:r/>
            <w:r>
              <w:rPr>
                <w:rFonts w:ascii="仿宋_GB2312" w:hAnsi="仿宋_GB2312" w:eastAsia="仿宋_GB2312"/>
                <w:b w:val="0"/>
                <w:color w:val="000000"/>
                <w:sz w:val="32"/>
              </w:rPr>
              <w:t>41项</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财务数据未公开披露。线缆行业盈利受铜铝价格与加工费竞争影响，毛利率通常中等；国资控股与专精特新资质利于稳定经营。</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无公开资产数据。"料重工轻"属性下存货（铜铝）与应收占款较高。</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无公开负债数据。国有控股背景利于融资，但建议核查有息负债与对外担保。</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无公开现金流数据。铜铝采购与应收回款对现金流影响显著。</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与阳谷电缆集团（历史百亿规模、民营）、太平洋光纤光缆（高宪武系）相比，日辉电缆为阳谷县属国有控股、规模中等，但资质齐全（小巨人、单项冠军），在国资信用与规范治理上具备相对优势。</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国有控股有限责任公司，设法定代表人/总经理（薛士国）及治理层；国资股东阳谷财通、阳谷财金履行出资人职责，须落实"三重一大"与国资监管。</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法定代表人薛士国；管理层由阳谷县国资体系与市场化团队组成。</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作为国有控股高新技术企业，兼顾国资合规与市场化运营；通过ISO体系与产品认证强化质量内控。公开信息显示存在一定开庭公告与涉诉记录，需关注合同管理。</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员工约169人，人员规模中等、以技术与生产为主；专利41项体现一定研发密度。</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国资信用背书：阳谷县属国有控股，融资与信用优势明显，治理规范。二是资质壁垒：国家级专精特新"小巨人"、制造业单项冠军、高新技术企业、企业技术中心密集。三是集群协同：位于阳谷铁路输电设备产业集群，与阳谷电缆集团等共享品牌、配套与产业链资源。四是产品认证：通过CE/TÜV/GOST等国际认证，具备出口资质。五是技术储备：专利41项，支撑特种线缆研发。</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原料价格风险：铜铝价格波动直接挤压毛利；应对为集采与套保。二是市场竞争风险：线缆行业产能过剩、加工费承压；应对以特种与国资客户提升溢价。三是客户与回款风险：工程业务回款周期长，存在开庭公告与涉诉记录，需强化信用管理。四是规模风险：规模中等、抗周期能力有限；应对为国资赋能与集群协同。五是财务透明度风险：非上市、财务未公开，授信需加强尽调。</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电网、运营商等核心客户的应收账款可开展保理。供应链金融：依托阳谷国资信用，为上游铜材、绝缘料供应商提供订单与存货融资。融资租赁：电缆产线设备升级适合直租/回租。小贷：面向中小配套供应商短贷。国有控股+资质优良使日辉电缆成为稳健型客户，建议以供应链金融与设备融资租赁为主切入。</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日辉电缆是阳谷铁路输电设备产业集群的阳谷县属国有控股骨干企业，资质完备（小巨人、单项冠军）、国资信用强、集群协同好，但规模中等、财务不透明、存在一定涉诉与回款风险。发展展望：据行业趋势与阳谷县线缆产业转型升级方案，智能制造与科技创新转型将推动企业提质。建议：一是对接供应链金融与设备融资租赁；二是授信前补充规范财务资料并评估应收质量；三是关注涉诉与回款风险，设置动态监测。</w:t>
      </w:r>
    </w:p>
    <w:p>
      <w:pPr>
        <w:spacing w:lineRule="exact" w:line="600" w:before="0" w:after="0"/>
        <w:jc w:val="left"/>
      </w:pPr>
      <w:r>
        <w:rPr>
          <w:rFonts w:ascii="仿宋_GB2312" w:hAnsi="仿宋_GB2312" w:eastAsia="仿宋_GB2312"/>
          <w:b w:val="0"/>
          <w:color w:val="000000"/>
          <w:sz w:val="28"/>
        </w:rPr>
        <w:t>数据来源说明：天眼查/爱企查（工商、股权、资质、专利）、国家企业信用信息公示系统、公开招投标与资质公示。近三年完整财务未公开披露，已如实标注。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